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9F87" w14:textId="05FE2C3B" w:rsidR="000F513D" w:rsidRDefault="00AB4358" w:rsidP="00B94C29">
      <w:pPr>
        <w:pStyle w:val="Heading1"/>
        <w:spacing w:before="0" w:after="240"/>
        <w:jc w:val="center"/>
        <w:rPr>
          <w:rFonts w:ascii="Calibri" w:hAnsi="Calibri"/>
          <w:sz w:val="32"/>
          <w:szCs w:val="36"/>
          <w:lang w:val="en-GB"/>
        </w:rPr>
      </w:pPr>
      <w:r>
        <w:rPr>
          <w:rFonts w:ascii="Calibri" w:hAnsi="Calibri"/>
          <w:sz w:val="32"/>
          <w:szCs w:val="36"/>
          <w:lang w:val="en-GB"/>
        </w:rPr>
        <w:t>Social Science Impact Fund</w:t>
      </w:r>
      <w:r w:rsidR="00D50464">
        <w:rPr>
          <w:rFonts w:ascii="Calibri" w:hAnsi="Calibri"/>
          <w:sz w:val="32"/>
          <w:szCs w:val="36"/>
          <w:lang w:val="en-GB"/>
        </w:rPr>
        <w:t>ing</w:t>
      </w:r>
      <w:r w:rsidR="00CB38AD" w:rsidRPr="003C5FB7">
        <w:rPr>
          <w:rFonts w:ascii="Calibri" w:hAnsi="Calibri"/>
          <w:sz w:val="32"/>
          <w:szCs w:val="36"/>
        </w:rPr>
        <w:t xml:space="preserve"> </w:t>
      </w:r>
    </w:p>
    <w:p w14:paraId="20CAF33C" w14:textId="77777777" w:rsidR="007D6A6C" w:rsidRPr="00432CD3" w:rsidRDefault="001F1A8E" w:rsidP="00B94C29">
      <w:pPr>
        <w:pStyle w:val="Heading1"/>
        <w:spacing w:before="0" w:after="240"/>
        <w:jc w:val="center"/>
        <w:rPr>
          <w:rFonts w:ascii="Calibri" w:hAnsi="Calibri"/>
          <w:i/>
          <w:sz w:val="32"/>
          <w:szCs w:val="36"/>
          <w:lang w:val="en-GB"/>
        </w:rPr>
      </w:pPr>
      <w:r>
        <w:rPr>
          <w:rFonts w:ascii="Calibri" w:hAnsi="Calibri"/>
          <w:i/>
          <w:sz w:val="32"/>
          <w:szCs w:val="36"/>
          <w:lang w:val="en-GB"/>
        </w:rPr>
        <w:t>Guidance</w:t>
      </w:r>
      <w:r w:rsidR="002668C8">
        <w:rPr>
          <w:rFonts w:ascii="Calibri" w:hAnsi="Calibri"/>
          <w:i/>
          <w:sz w:val="32"/>
          <w:szCs w:val="36"/>
          <w:lang w:val="en-GB"/>
        </w:rPr>
        <w:t xml:space="preserve"> for Applicants</w:t>
      </w:r>
    </w:p>
    <w:p w14:paraId="24E1FB92" w14:textId="56BDCA93" w:rsidR="003354A3" w:rsidRDefault="000F513D" w:rsidP="00E602A3">
      <w:pPr>
        <w:spacing w:after="240"/>
        <w:jc w:val="both"/>
      </w:pPr>
      <w:r w:rsidRPr="00851EED">
        <w:t xml:space="preserve">The </w:t>
      </w:r>
      <w:r w:rsidR="00AB4358">
        <w:t>Social Science Impact Fund</w:t>
      </w:r>
      <w:r w:rsidR="007960B8">
        <w:t xml:space="preserve"> and Discretionary Fund</w:t>
      </w:r>
      <w:r w:rsidR="00217046">
        <w:t xml:space="preserve"> aim </w:t>
      </w:r>
      <w:r w:rsidR="003D130A">
        <w:t>to</w:t>
      </w:r>
      <w:r w:rsidR="003D130A" w:rsidRPr="00851EED">
        <w:t xml:space="preserve"> </w:t>
      </w:r>
      <w:r w:rsidR="003354A3">
        <w:t>support</w:t>
      </w:r>
      <w:r w:rsidR="00351BA6">
        <w:t xml:space="preserve"> activities and outputs that will further the </w:t>
      </w:r>
      <w:r w:rsidR="006B2515">
        <w:t>use</w:t>
      </w:r>
      <w:r w:rsidR="003354A3">
        <w:t xml:space="preserve"> of </w:t>
      </w:r>
      <w:r w:rsidR="00351BA6">
        <w:t xml:space="preserve">social science </w:t>
      </w:r>
      <w:r w:rsidR="003354A3">
        <w:t>research and expertise</w:t>
      </w:r>
      <w:r w:rsidR="00C978EE">
        <w:t>, primarily</w:t>
      </w:r>
      <w:r w:rsidR="003354A3">
        <w:t xml:space="preserve"> through the development of relationships</w:t>
      </w:r>
      <w:r w:rsidR="006B2515">
        <w:t xml:space="preserve"> with non-academic stakeholders, </w:t>
      </w:r>
      <w:r w:rsidR="003354A3">
        <w:t>beneficiaries</w:t>
      </w:r>
      <w:r w:rsidR="006B2515">
        <w:t>, and partners</w:t>
      </w:r>
      <w:r w:rsidR="003354A3">
        <w:t xml:space="preserve">. This can be done in </w:t>
      </w:r>
      <w:proofErr w:type="gramStart"/>
      <w:r w:rsidR="003354A3">
        <w:t>a number of</w:t>
      </w:r>
      <w:proofErr w:type="gramEnd"/>
      <w:r w:rsidR="003354A3">
        <w:t xml:space="preserve"> ways but begins with thinking carefully about the people, groups, organisations or bodies that you hope to work with and by clearly identifying the best methods for engaging those stakeholders.</w:t>
      </w:r>
      <w:r w:rsidR="00351BA6">
        <w:t xml:space="preserve"> </w:t>
      </w:r>
      <w:r w:rsidR="003354A3">
        <w:t xml:space="preserve">Understanding stakeholder needs is vital to strong impact work and leads to a clear understanding of how </w:t>
      </w:r>
      <w:r w:rsidR="00C978EE">
        <w:t>outcomes and impacts</w:t>
      </w:r>
      <w:r w:rsidR="003354A3">
        <w:t xml:space="preserve"> can be measured and evaluated. </w:t>
      </w:r>
      <w:r w:rsidR="008F60F6">
        <w:t xml:space="preserve">The University of Cambridge has an established and experienced impact ecosystem and can support researchers in </w:t>
      </w:r>
      <w:r w:rsidR="006B2515">
        <w:t>developing ways to apply their research by working with p</w:t>
      </w:r>
      <w:r w:rsidR="008F60F6">
        <w:t xml:space="preserve">olicy makers, industry partners, arts communities, </w:t>
      </w:r>
      <w:r w:rsidR="006B2515">
        <w:t xml:space="preserve">the wider public, and others. </w:t>
      </w:r>
    </w:p>
    <w:p w14:paraId="0C7CE16A" w14:textId="7E193CC3" w:rsidR="003354A3" w:rsidRPr="00AC010C" w:rsidRDefault="003354A3" w:rsidP="00E602A3">
      <w:pPr>
        <w:spacing w:after="240"/>
        <w:jc w:val="both"/>
      </w:pPr>
      <w:r>
        <w:t xml:space="preserve">Impact activities can be undertaken at any point in the research life cycle. In developing research plans, impact activities and opportunities to engage with stakeholders can </w:t>
      </w:r>
      <w:r w:rsidR="00002B70">
        <w:t xml:space="preserve">and should </w:t>
      </w:r>
      <w:r>
        <w:t xml:space="preserve">be included </w:t>
      </w:r>
      <w:r w:rsidR="00002B70" w:rsidRPr="00D31776">
        <w:rPr>
          <w:iCs/>
        </w:rPr>
        <w:t>in the</w:t>
      </w:r>
      <w:r w:rsidR="00002B70">
        <w:rPr>
          <w:i/>
        </w:rPr>
        <w:t xml:space="preserve"> case for support</w:t>
      </w:r>
      <w:r w:rsidR="00D31776">
        <w:rPr>
          <w:i/>
        </w:rPr>
        <w:t xml:space="preserve">, </w:t>
      </w:r>
      <w:r w:rsidR="00D31776" w:rsidRPr="00D31776">
        <w:rPr>
          <w:iCs/>
        </w:rPr>
        <w:t>however</w:t>
      </w:r>
      <w:r w:rsidR="00D31776">
        <w:rPr>
          <w:i/>
        </w:rPr>
        <w:t xml:space="preserve">, </w:t>
      </w:r>
      <w:r>
        <w:t xml:space="preserve">should unanticipated opportunities emerge at later stages, the </w:t>
      </w:r>
      <w:r w:rsidR="00351BA6">
        <w:t xml:space="preserve">activities can be funded </w:t>
      </w:r>
      <w:r w:rsidRPr="008D2906">
        <w:t xml:space="preserve">from </w:t>
      </w:r>
      <w:r w:rsidR="00AB4358">
        <w:t>two</w:t>
      </w:r>
      <w:r w:rsidRPr="008D2906">
        <w:t xml:space="preserve"> distinct streams:</w:t>
      </w:r>
    </w:p>
    <w:p w14:paraId="2DE05D06" w14:textId="020CB7F6" w:rsidR="008F60F6" w:rsidRPr="008D2906" w:rsidRDefault="00D50464" w:rsidP="00B94C29">
      <w:pPr>
        <w:pStyle w:val="ListParagraph"/>
        <w:numPr>
          <w:ilvl w:val="0"/>
          <w:numId w:val="3"/>
        </w:numPr>
        <w:spacing w:after="240"/>
        <w:jc w:val="both"/>
      </w:pPr>
      <w:r>
        <w:t xml:space="preserve">Social Science </w:t>
      </w:r>
      <w:r w:rsidR="008F60F6" w:rsidRPr="008D2906">
        <w:t>Impact Fund</w:t>
      </w:r>
      <w:r>
        <w:t xml:space="preserve"> (SSIF)</w:t>
      </w:r>
    </w:p>
    <w:p w14:paraId="135D8DE4" w14:textId="3119555C" w:rsidR="006E3448" w:rsidRPr="008D2906" w:rsidRDefault="00D50464" w:rsidP="00B94C29">
      <w:pPr>
        <w:pStyle w:val="ListParagraph"/>
        <w:numPr>
          <w:ilvl w:val="0"/>
          <w:numId w:val="3"/>
        </w:numPr>
        <w:spacing w:after="240"/>
        <w:jc w:val="both"/>
      </w:pPr>
      <w:r>
        <w:t xml:space="preserve">Social Science </w:t>
      </w:r>
      <w:r w:rsidR="006E3448" w:rsidRPr="008D2906">
        <w:t>Discretionary Fund</w:t>
      </w:r>
      <w:r>
        <w:t xml:space="preserve"> (SSDF)</w:t>
      </w:r>
    </w:p>
    <w:p w14:paraId="1A41CFF6" w14:textId="4ABFB742" w:rsidR="00D50464" w:rsidRDefault="00D31776" w:rsidP="00AB4A5A">
      <w:pPr>
        <w:spacing w:after="240"/>
      </w:pPr>
      <w:r>
        <w:t xml:space="preserve">Applications to </w:t>
      </w:r>
      <w:r w:rsidR="00AB4358">
        <w:t>both</w:t>
      </w:r>
      <w:r w:rsidR="008D2906">
        <w:t xml:space="preserve"> streams must make clear how acti</w:t>
      </w:r>
      <w:r w:rsidR="00A36384">
        <w:t xml:space="preserve">vities meet the aims of </w:t>
      </w:r>
      <w:r w:rsidR="00A36384" w:rsidRPr="00D31776">
        <w:t>ESRC Impact Accelerator Account (IAA)</w:t>
      </w:r>
      <w:r w:rsidR="008D2906" w:rsidRPr="00D31776">
        <w:t>.</w:t>
      </w:r>
      <w:r>
        <w:t xml:space="preserve"> The Impact Fund is capped at £20,000 and projects can run up to 12 months (two calls/annum) whilst the Discretionary Fund is capped at £2,000 with a rolling deadline</w:t>
      </w:r>
      <w:r w:rsidR="00D50464">
        <w:t>.</w:t>
      </w:r>
      <w:r w:rsidR="008E583A">
        <w:t xml:space="preserve"> </w:t>
      </w:r>
      <w:r w:rsidR="008E583A" w:rsidRPr="008E583A">
        <w:rPr>
          <w:b/>
          <w:bCs/>
        </w:rPr>
        <w:t>Please note that there is only one application form for both streams</w:t>
      </w:r>
      <w:r w:rsidR="008E583A" w:rsidRPr="008E583A">
        <w:rPr>
          <w:b/>
          <w:bCs/>
        </w:rPr>
        <w:t xml:space="preserve"> and that applicants to the Discretionary Fund are not expected to use the full word count.</w:t>
      </w:r>
      <w:r w:rsidR="008E583A">
        <w:t xml:space="preserve"> </w:t>
      </w:r>
      <w:r w:rsidR="00D50464">
        <w:t xml:space="preserve"> </w:t>
      </w:r>
      <w:r w:rsidR="00AC010C">
        <w:t xml:space="preserve"> </w:t>
      </w:r>
      <w:r w:rsidR="00D50464">
        <w:t xml:space="preserve"> </w:t>
      </w:r>
    </w:p>
    <w:p w14:paraId="6C09B5B1" w14:textId="77777777" w:rsidR="008D2906" w:rsidRPr="00EB6C77" w:rsidRDefault="008D2906" w:rsidP="00AB4A5A">
      <w:pPr>
        <w:spacing w:after="240"/>
        <w:rPr>
          <w:rFonts w:ascii="Calibri" w:eastAsia="Times New Roman" w:hAnsi="Calibri" w:cs="Times New Roman"/>
          <w:b/>
          <w:bCs/>
          <w:color w:val="365F91"/>
          <w:sz w:val="32"/>
          <w:szCs w:val="36"/>
          <w:lang w:val="x-none" w:eastAsia="x-none"/>
        </w:rPr>
      </w:pPr>
      <w:r w:rsidRPr="00EB6C77">
        <w:rPr>
          <w:rFonts w:ascii="Calibri" w:eastAsia="Times New Roman" w:hAnsi="Calibri" w:cs="Times New Roman"/>
          <w:b/>
          <w:bCs/>
          <w:color w:val="365F91"/>
          <w:sz w:val="32"/>
          <w:szCs w:val="36"/>
          <w:lang w:val="x-none" w:eastAsia="x-none"/>
        </w:rPr>
        <w:t>Aims</w:t>
      </w:r>
    </w:p>
    <w:p w14:paraId="489B7FE3" w14:textId="03B55FA2" w:rsidR="008A29AB" w:rsidRDefault="008D2906" w:rsidP="00AB4A5A">
      <w:pPr>
        <w:spacing w:after="240"/>
      </w:pPr>
      <w:r>
        <w:t xml:space="preserve">The </w:t>
      </w:r>
      <w:r w:rsidR="00D31776">
        <w:t>principal</w:t>
      </w:r>
      <w:r>
        <w:t xml:space="preserve"> concern of the ESRC IAA is to take social science research and expertise and put it directly into the hands of stakeholders</w:t>
      </w:r>
      <w:r w:rsidR="00D20E14">
        <w:t xml:space="preserve"> through carefully selected methods and </w:t>
      </w:r>
      <w:r w:rsidR="00E54E0C">
        <w:t>approaches</w:t>
      </w:r>
      <w:r w:rsidR="00D20E14">
        <w:t>, and to build in to projects</w:t>
      </w:r>
      <w:r w:rsidR="00B51B60">
        <w:t xml:space="preserve"> the</w:t>
      </w:r>
      <w:r w:rsidR="00D20E14">
        <w:t xml:space="preserve"> opportunities for evaluation and tracking of activities and outputs. </w:t>
      </w:r>
      <w:r w:rsidR="00033C4A">
        <w:t xml:space="preserve">It is easiest to think of this as a three-step process: </w:t>
      </w:r>
      <w:r w:rsidR="00CA517D" w:rsidRPr="00517B60">
        <w:rPr>
          <w:b/>
          <w:bCs/>
        </w:rPr>
        <w:t>partners</w:t>
      </w:r>
      <w:r w:rsidR="00033C4A" w:rsidRPr="00517B60">
        <w:rPr>
          <w:b/>
          <w:bCs/>
        </w:rPr>
        <w:t xml:space="preserve">, </w:t>
      </w:r>
      <w:r w:rsidR="008A29AB" w:rsidRPr="00517B60">
        <w:rPr>
          <w:b/>
          <w:bCs/>
        </w:rPr>
        <w:t>outputs, and outcomes</w:t>
      </w:r>
      <w:r w:rsidR="008A29AB">
        <w:t>.</w:t>
      </w:r>
    </w:p>
    <w:p w14:paraId="0217A60D" w14:textId="345E7C8B" w:rsidR="008A29AB" w:rsidRPr="008A29AB" w:rsidRDefault="008A29AB" w:rsidP="00AB4A5A">
      <w:pPr>
        <w:spacing w:after="240"/>
        <w:rPr>
          <w:rFonts w:ascii="Calibri" w:eastAsia="Times New Roman" w:hAnsi="Calibri" w:cs="Times New Roman"/>
          <w:b/>
          <w:bCs/>
          <w:color w:val="365F91"/>
          <w:sz w:val="32"/>
          <w:szCs w:val="36"/>
          <w:lang w:val="x-none" w:eastAsia="x-none"/>
        </w:rPr>
      </w:pPr>
      <w:r w:rsidRPr="008A29AB">
        <w:rPr>
          <w:rFonts w:ascii="Calibri" w:eastAsia="Times New Roman" w:hAnsi="Calibri" w:cs="Times New Roman"/>
          <w:b/>
          <w:bCs/>
          <w:color w:val="365F91"/>
          <w:sz w:val="32"/>
          <w:szCs w:val="36"/>
          <w:lang w:val="x-none" w:eastAsia="x-none"/>
        </w:rPr>
        <w:t>Partners</w:t>
      </w:r>
    </w:p>
    <w:p w14:paraId="0AF15BC5" w14:textId="0BEC5B51" w:rsidR="00517B60" w:rsidRDefault="00517B60" w:rsidP="00517B60">
      <w:pPr>
        <w:spacing w:after="240"/>
      </w:pPr>
      <w:r w:rsidRPr="00BA4D26">
        <w:t xml:space="preserve">A first step to creating impact is in </w:t>
      </w:r>
      <w:r w:rsidRPr="00075EA6">
        <w:rPr>
          <w:b/>
          <w:bCs/>
          <w:u w:val="single"/>
        </w:rPr>
        <w:t>choosing the</w:t>
      </w:r>
      <w:r w:rsidR="00AC010C" w:rsidRPr="00075EA6">
        <w:rPr>
          <w:b/>
          <w:bCs/>
          <w:u w:val="single"/>
        </w:rPr>
        <w:t xml:space="preserve"> </w:t>
      </w:r>
      <w:r w:rsidRPr="00075EA6">
        <w:rPr>
          <w:b/>
          <w:bCs/>
          <w:u w:val="single"/>
        </w:rPr>
        <w:t>stakeholders</w:t>
      </w:r>
      <w:r w:rsidR="00AC010C" w:rsidRPr="00075EA6">
        <w:rPr>
          <w:b/>
          <w:bCs/>
          <w:u w:val="single"/>
        </w:rPr>
        <w:t>,</w:t>
      </w:r>
      <w:r w:rsidRPr="00075EA6">
        <w:rPr>
          <w:b/>
          <w:bCs/>
          <w:u w:val="single"/>
        </w:rPr>
        <w:t xml:space="preserve"> and beneficiaries that will most benefit from your research and expertise</w:t>
      </w:r>
      <w:r w:rsidRPr="00BA4D26">
        <w:t xml:space="preserve">, and in strategically involving external partners throughout to help develop and deliver the project outputs. Please see </w:t>
      </w:r>
      <w:r w:rsidRPr="00E54E0C">
        <w:rPr>
          <w:i/>
          <w:iCs/>
        </w:rPr>
        <w:t>Annex A: Partners, Collaborators, Stakeholders, and Beneficiaries</w:t>
      </w:r>
      <w:r w:rsidRPr="00BA4D26">
        <w:t xml:space="preserve"> for examples of potential </w:t>
      </w:r>
      <w:r w:rsidR="004C54EE">
        <w:t>partners</w:t>
      </w:r>
      <w:r w:rsidRPr="00BA4D26">
        <w:t xml:space="preserve"> and types of impact that may be generated by your activities. </w:t>
      </w:r>
      <w:r w:rsidR="004C54EE">
        <w:t xml:space="preserve">Consider ways in which partners might contribute to the project through funding and/or contributions in kind and be sure to include this in the application and end of project reporting. </w:t>
      </w:r>
    </w:p>
    <w:p w14:paraId="27DCB6F7" w14:textId="0577F5CA" w:rsidR="008A29AB" w:rsidRDefault="008A29AB" w:rsidP="00517B60">
      <w:pPr>
        <w:spacing w:after="240"/>
      </w:pPr>
    </w:p>
    <w:p w14:paraId="74429FDE" w14:textId="77777777" w:rsidR="00AC010C" w:rsidRPr="008A29AB" w:rsidRDefault="00AC010C" w:rsidP="00AC010C">
      <w:pPr>
        <w:spacing w:after="240"/>
      </w:pPr>
      <w:r w:rsidRPr="008A29AB">
        <w:rPr>
          <w:rFonts w:ascii="Calibri" w:eastAsia="Times New Roman" w:hAnsi="Calibri" w:cs="Times New Roman"/>
          <w:b/>
          <w:bCs/>
          <w:color w:val="365F91"/>
          <w:sz w:val="32"/>
          <w:szCs w:val="36"/>
          <w:lang w:val="x-none" w:eastAsia="x-none"/>
        </w:rPr>
        <w:t>Outputs</w:t>
      </w:r>
    </w:p>
    <w:p w14:paraId="29A349BD" w14:textId="7F9D8087" w:rsidR="0004432B" w:rsidRDefault="00AC4824" w:rsidP="00AB4A5A">
      <w:pPr>
        <w:spacing w:after="240"/>
      </w:pPr>
      <w:r w:rsidRPr="00AC4824">
        <w:t xml:space="preserve">Successful impact work can often depend </w:t>
      </w:r>
      <w:r w:rsidRPr="00BA4D26">
        <w:rPr>
          <w:b/>
        </w:rPr>
        <w:t xml:space="preserve">on </w:t>
      </w:r>
      <w:r w:rsidRPr="00AB4A5A">
        <w:rPr>
          <w:b/>
          <w:u w:val="single"/>
        </w:rPr>
        <w:t>choosing the most appropriate method or activity for your community of stakeholders and beneficiaries</w:t>
      </w:r>
      <w:r w:rsidRPr="00AC4824">
        <w:t>.</w:t>
      </w:r>
      <w:r w:rsidR="0004432B">
        <w:t xml:space="preserve"> </w:t>
      </w:r>
      <w:r w:rsidR="00DA3862">
        <w:t>F</w:t>
      </w:r>
      <w:r w:rsidR="00267082">
        <w:t xml:space="preserve">or example: </w:t>
      </w:r>
    </w:p>
    <w:p w14:paraId="49299F05" w14:textId="3F249688" w:rsidR="0004432B" w:rsidRDefault="00DA3862" w:rsidP="00267082">
      <w:pPr>
        <w:pStyle w:val="ListParagraph"/>
        <w:numPr>
          <w:ilvl w:val="0"/>
          <w:numId w:val="34"/>
        </w:numPr>
        <w:spacing w:after="240"/>
      </w:pPr>
      <w:r>
        <w:t xml:space="preserve">Events: </w:t>
      </w:r>
      <w:r w:rsidR="00267082">
        <w:t>Training: This generally involves some form of teaching and skills or knowledge development</w:t>
      </w:r>
      <w:r w:rsidR="00400683">
        <w:t xml:space="preserve">; </w:t>
      </w:r>
      <w:r w:rsidR="00267082">
        <w:t>Workshop: This generally involves activities where group(s) of people engage in discussion/exploration/development of a particular topic</w:t>
      </w:r>
      <w:r w:rsidR="00400683">
        <w:t xml:space="preserve">; </w:t>
      </w:r>
      <w:r w:rsidR="00267082">
        <w:t>Public Engagement Event: This generally involves activities focussed on the public, often to encourage or enable involvement in research or raising awareness of social science</w:t>
      </w:r>
      <w:r w:rsidR="00400683">
        <w:t xml:space="preserve">; </w:t>
      </w:r>
      <w:r w:rsidR="00267082">
        <w:t>Other General/Stakeholder Events: This can capture networking and relationship building events with diverse groups of stakeholders, conferences, regional meetings etc.</w:t>
      </w:r>
      <w:r w:rsidR="00400683">
        <w:t xml:space="preserve">; </w:t>
      </w:r>
      <w:r w:rsidR="00267082">
        <w:t>Formal working group, expert panel or similar: This generally involves a group of experts working together to achieve a specified, official goal or requirement</w:t>
      </w:r>
      <w:r w:rsidR="00400683">
        <w:t xml:space="preserve">; </w:t>
      </w:r>
      <w:r w:rsidR="00267082">
        <w:t>Talks or presentation</w:t>
      </w:r>
      <w:r w:rsidR="00400683">
        <w:t>s.</w:t>
      </w:r>
    </w:p>
    <w:p w14:paraId="40421BBD" w14:textId="5CB5270A" w:rsidR="00400683" w:rsidRDefault="00400683" w:rsidP="00400683">
      <w:pPr>
        <w:pStyle w:val="ListParagraph"/>
        <w:numPr>
          <w:ilvl w:val="0"/>
          <w:numId w:val="34"/>
        </w:numPr>
        <w:spacing w:after="240"/>
      </w:pPr>
      <w:r>
        <w:t xml:space="preserve">Secondments, either going out of the research organisation or coming </w:t>
      </w:r>
      <w:r w:rsidR="00E54E0C">
        <w:t>into</w:t>
      </w:r>
      <w:r>
        <w:t xml:space="preserve"> the research organisation</w:t>
      </w:r>
      <w:r w:rsidR="0010311A">
        <w:t>. Are they: m</w:t>
      </w:r>
      <w:r>
        <w:t>ultidisciplinary: people from different disciplines working together, each drawing on their own disciplinary knowledge</w:t>
      </w:r>
      <w:r w:rsidR="00E54E0C">
        <w:t>;</w:t>
      </w:r>
      <w:r w:rsidR="0010311A">
        <w:t xml:space="preserve"> or i</w:t>
      </w:r>
      <w:r>
        <w:t xml:space="preserve">nterdisciplinary: integrating knowledge and methods from different disciplines, using a synthesis of </w:t>
      </w:r>
      <w:r w:rsidR="00E54E0C">
        <w:t>approaches,</w:t>
      </w:r>
      <w:r>
        <w:t xml:space="preserve"> and often creating a new method or blended disciplinary </w:t>
      </w:r>
      <w:proofErr w:type="gramStart"/>
      <w:r>
        <w:t>approach</w:t>
      </w:r>
      <w:r w:rsidR="00E54E0C">
        <w:t>.</w:t>
      </w:r>
      <w:proofErr w:type="gramEnd"/>
    </w:p>
    <w:p w14:paraId="2FAC2E06" w14:textId="6D484F54" w:rsidR="008F60F6" w:rsidRDefault="00267082" w:rsidP="00AB4A5A">
      <w:pPr>
        <w:spacing w:after="240"/>
      </w:pPr>
      <w:r>
        <w:t>Consider activities that are innovative and require some level of responsible risk taking.</w:t>
      </w:r>
      <w:r w:rsidR="0001637A">
        <w:t xml:space="preserve"> Alongside established methods, the </w:t>
      </w:r>
      <w:r>
        <w:t xml:space="preserve">ESRC are keen to support activities that are </w:t>
      </w:r>
      <w:r w:rsidR="0001637A">
        <w:t>experimental or</w:t>
      </w:r>
      <w:r w:rsidR="0001637A" w:rsidRPr="0001637A">
        <w:t xml:space="preserve"> pilot</w:t>
      </w:r>
      <w:r w:rsidR="0001637A">
        <w:t>s</w:t>
      </w:r>
      <w:r w:rsidR="0001637A" w:rsidRPr="0001637A">
        <w:t xml:space="preserve"> for proof of concept</w:t>
      </w:r>
      <w:r w:rsidR="0001637A">
        <w:t xml:space="preserve">. </w:t>
      </w:r>
      <w:r w:rsidR="009D0117">
        <w:t>Please</w:t>
      </w:r>
      <w:r w:rsidR="0001637A">
        <w:t xml:space="preserve"> also</w:t>
      </w:r>
      <w:r w:rsidR="009D0117">
        <w:t xml:space="preserve"> see </w:t>
      </w:r>
      <w:r w:rsidR="009D0117" w:rsidRPr="00E54E0C">
        <w:rPr>
          <w:i/>
        </w:rPr>
        <w:t>Annex B: Methods</w:t>
      </w:r>
      <w:r w:rsidR="0001637A" w:rsidRPr="00E54E0C">
        <w:rPr>
          <w:i/>
        </w:rPr>
        <w:t xml:space="preserve">, </w:t>
      </w:r>
      <w:r w:rsidR="009D0117" w:rsidRPr="00E54E0C">
        <w:rPr>
          <w:i/>
        </w:rPr>
        <w:t>Activities</w:t>
      </w:r>
      <w:r w:rsidR="0001637A" w:rsidRPr="00E54E0C">
        <w:rPr>
          <w:i/>
        </w:rPr>
        <w:t>, and Outputs</w:t>
      </w:r>
      <w:r w:rsidR="009D0117">
        <w:t xml:space="preserve"> for examples.</w:t>
      </w:r>
    </w:p>
    <w:p w14:paraId="7B6E58CB" w14:textId="6FE9CB3F" w:rsidR="008D2906" w:rsidRPr="00400683" w:rsidRDefault="003457F2" w:rsidP="00033C4A">
      <w:pPr>
        <w:spacing w:after="240"/>
        <w:rPr>
          <w:rFonts w:ascii="Calibri" w:eastAsia="Times New Roman" w:hAnsi="Calibri" w:cs="Times New Roman"/>
          <w:b/>
          <w:bCs/>
          <w:color w:val="365F91"/>
          <w:sz w:val="32"/>
          <w:szCs w:val="36"/>
          <w:lang w:val="x-none" w:eastAsia="x-none"/>
        </w:rPr>
      </w:pPr>
      <w:r w:rsidRPr="00400683">
        <w:rPr>
          <w:rFonts w:ascii="Calibri" w:eastAsia="Times New Roman" w:hAnsi="Calibri" w:cs="Times New Roman"/>
          <w:b/>
          <w:bCs/>
          <w:color w:val="365F91"/>
          <w:sz w:val="32"/>
          <w:szCs w:val="36"/>
          <w:lang w:val="x-none" w:eastAsia="x-none"/>
        </w:rPr>
        <w:t>Outcomes</w:t>
      </w:r>
    </w:p>
    <w:p w14:paraId="535161ED" w14:textId="74B4BE17" w:rsidR="00177FB2" w:rsidRDefault="00BA4D26" w:rsidP="00AB4A5A">
      <w:pPr>
        <w:spacing w:after="0" w:line="240" w:lineRule="auto"/>
      </w:pPr>
      <w:r w:rsidRPr="00BA4D26">
        <w:t xml:space="preserve">Evaluating impact projects is necessary for both the evidencing of success and in planning for future pathways to impact. </w:t>
      </w:r>
      <w:proofErr w:type="gramStart"/>
      <w:r w:rsidRPr="00400683">
        <w:rPr>
          <w:b/>
          <w:bCs/>
        </w:rPr>
        <w:t>Therefore</w:t>
      </w:r>
      <w:proofErr w:type="gramEnd"/>
      <w:r w:rsidRPr="00400683">
        <w:rPr>
          <w:b/>
          <w:bCs/>
        </w:rPr>
        <w:t xml:space="preserve"> </w:t>
      </w:r>
      <w:r w:rsidRPr="00400683">
        <w:rPr>
          <w:b/>
          <w:bCs/>
          <w:u w:val="single"/>
        </w:rPr>
        <w:t>choosing the most appropriate methods and indicators to qualify and quantify the outcomes of the project are important</w:t>
      </w:r>
      <w:r w:rsidRPr="00BA4D26">
        <w:t xml:space="preserve">. </w:t>
      </w:r>
      <w:r w:rsidR="009A5E6C">
        <w:t>Some outcomes to consider:</w:t>
      </w:r>
    </w:p>
    <w:p w14:paraId="2FF586C5" w14:textId="79400989" w:rsidR="00400683" w:rsidRDefault="00400683" w:rsidP="00AB4A5A">
      <w:pPr>
        <w:spacing w:after="0" w:line="240" w:lineRule="auto"/>
      </w:pPr>
    </w:p>
    <w:p w14:paraId="106EF46F" w14:textId="54ED7E7A" w:rsidR="00400683" w:rsidRDefault="00400683" w:rsidP="00400683">
      <w:pPr>
        <w:pStyle w:val="ListParagraph"/>
        <w:numPr>
          <w:ilvl w:val="0"/>
          <w:numId w:val="36"/>
        </w:numPr>
        <w:spacing w:after="0" w:line="240" w:lineRule="auto"/>
      </w:pPr>
      <w:r>
        <w:t>Stronger RO knowledge exchange through culture change, including through the development of skills for KE activity</w:t>
      </w:r>
    </w:p>
    <w:p w14:paraId="0BA3F3A9" w14:textId="3619ED8E" w:rsidR="00400683" w:rsidRDefault="00400683" w:rsidP="00400683">
      <w:pPr>
        <w:pStyle w:val="ListParagraph"/>
        <w:numPr>
          <w:ilvl w:val="0"/>
          <w:numId w:val="36"/>
        </w:numPr>
        <w:spacing w:after="0" w:line="240" w:lineRule="auto"/>
      </w:pPr>
      <w:r>
        <w:t>Stronger RO and researcher user engagement</w:t>
      </w:r>
    </w:p>
    <w:p w14:paraId="2BC749C0" w14:textId="0A9D823C" w:rsidR="00400683" w:rsidRDefault="00400683" w:rsidP="00400683">
      <w:pPr>
        <w:pStyle w:val="ListParagraph"/>
        <w:numPr>
          <w:ilvl w:val="0"/>
          <w:numId w:val="36"/>
        </w:numPr>
        <w:spacing w:after="0" w:line="240" w:lineRule="auto"/>
      </w:pPr>
      <w:r>
        <w:t>Supported knowledge exchange – including at early stages of progressing research outputs and outcomes to the point when they could be supported by other funding</w:t>
      </w:r>
    </w:p>
    <w:p w14:paraId="17651CCD" w14:textId="5799FFA7" w:rsidR="00400683" w:rsidRDefault="00400683" w:rsidP="00400683">
      <w:pPr>
        <w:pStyle w:val="ListParagraph"/>
        <w:numPr>
          <w:ilvl w:val="0"/>
          <w:numId w:val="36"/>
        </w:numPr>
        <w:spacing w:after="0" w:line="240" w:lineRule="auto"/>
      </w:pPr>
      <w:r>
        <w:t xml:space="preserve">Supported new, </w:t>
      </w:r>
      <w:proofErr w:type="gramStart"/>
      <w:r>
        <w:t>innovative</w:t>
      </w:r>
      <w:proofErr w:type="gramEnd"/>
      <w:r>
        <w:t xml:space="preserve"> and imaginative approaches to KE and impact, including processes that enabled “fast failure” and appropriate learning</w:t>
      </w:r>
    </w:p>
    <w:p w14:paraId="1D0E93FB" w14:textId="49F18AED" w:rsidR="00400683" w:rsidRDefault="00400683" w:rsidP="00400683">
      <w:pPr>
        <w:pStyle w:val="ListParagraph"/>
        <w:numPr>
          <w:ilvl w:val="0"/>
          <w:numId w:val="36"/>
        </w:numPr>
        <w:spacing w:after="0" w:line="240" w:lineRule="auto"/>
      </w:pPr>
      <w:r>
        <w:t>Supported activities that enabled impact to be achieved in an effective and timely manner, including secondments and people exchange</w:t>
      </w:r>
    </w:p>
    <w:p w14:paraId="534FBDCD" w14:textId="5F8A7B2C" w:rsidR="00400683" w:rsidRDefault="00400683" w:rsidP="00400683">
      <w:pPr>
        <w:pStyle w:val="ListParagraph"/>
        <w:numPr>
          <w:ilvl w:val="0"/>
          <w:numId w:val="36"/>
        </w:numPr>
        <w:spacing w:after="0" w:line="240" w:lineRule="auto"/>
      </w:pPr>
      <w:r>
        <w:t>Demonstrated how longer-term support for and sustainability of KE/impact support would be maintained</w:t>
      </w:r>
    </w:p>
    <w:p w14:paraId="35315576" w14:textId="4E763A17" w:rsidR="00400683" w:rsidRDefault="00400683" w:rsidP="00400683">
      <w:pPr>
        <w:pStyle w:val="ListParagraph"/>
        <w:numPr>
          <w:ilvl w:val="0"/>
          <w:numId w:val="36"/>
        </w:numPr>
        <w:spacing w:after="0" w:line="240" w:lineRule="auto"/>
      </w:pPr>
      <w:r>
        <w:t>Enabled longer term benefits to the ESRC via stronger, well thought out pathways to impact plans in the grant applications received</w:t>
      </w:r>
    </w:p>
    <w:p w14:paraId="74269670" w14:textId="44349C97" w:rsidR="00BA4D26" w:rsidRDefault="00BA4D26" w:rsidP="00AB4A5A">
      <w:pPr>
        <w:spacing w:after="0" w:line="240" w:lineRule="auto"/>
      </w:pPr>
    </w:p>
    <w:p w14:paraId="019903BF" w14:textId="77777777" w:rsidR="00E54E0C" w:rsidRDefault="00E54E0C" w:rsidP="00E54E0C">
      <w:pPr>
        <w:spacing w:after="0" w:line="240" w:lineRule="auto"/>
      </w:pPr>
      <w:r w:rsidRPr="00BA4D26">
        <w:t xml:space="preserve">Please see </w:t>
      </w:r>
      <w:r w:rsidRPr="00E54E0C">
        <w:rPr>
          <w:i/>
          <w:iCs/>
        </w:rPr>
        <w:t>Annex C: Outcomes, Metrics, and Indicators</w:t>
      </w:r>
      <w:r w:rsidRPr="00BA4D26">
        <w:t xml:space="preserve"> for examples.</w:t>
      </w:r>
    </w:p>
    <w:p w14:paraId="31681922" w14:textId="77777777" w:rsidR="00E54E0C" w:rsidRDefault="00E54E0C" w:rsidP="00AB4A5A">
      <w:pPr>
        <w:spacing w:after="0" w:line="240" w:lineRule="auto"/>
      </w:pPr>
    </w:p>
    <w:p w14:paraId="7FC4BB1E" w14:textId="77777777" w:rsidR="0076681E" w:rsidRDefault="0076681E" w:rsidP="00EB6C77">
      <w:pPr>
        <w:spacing w:after="240"/>
        <w:rPr>
          <w:rFonts w:ascii="Calibri" w:eastAsia="Times New Roman" w:hAnsi="Calibri" w:cs="Times New Roman"/>
          <w:b/>
          <w:bCs/>
          <w:color w:val="365F91"/>
          <w:sz w:val="32"/>
          <w:szCs w:val="36"/>
          <w:lang w:val="x-none" w:eastAsia="x-none"/>
        </w:rPr>
      </w:pPr>
    </w:p>
    <w:p w14:paraId="0766429F" w14:textId="526B7718" w:rsidR="00E77C92" w:rsidRPr="00C6718B" w:rsidRDefault="00AB4A5A" w:rsidP="00EB6C77">
      <w:pPr>
        <w:spacing w:after="240"/>
        <w:rPr>
          <w:rFonts w:ascii="Calibri" w:eastAsia="Times New Roman" w:hAnsi="Calibri" w:cs="Times New Roman"/>
          <w:b/>
          <w:bCs/>
          <w:color w:val="365F91"/>
          <w:sz w:val="32"/>
          <w:szCs w:val="36"/>
          <w:lang w:val="x-none" w:eastAsia="x-none"/>
        </w:rPr>
      </w:pPr>
      <w:r w:rsidRPr="00C6718B">
        <w:rPr>
          <w:rFonts w:ascii="Calibri" w:eastAsia="Times New Roman" w:hAnsi="Calibri" w:cs="Times New Roman"/>
          <w:b/>
          <w:bCs/>
          <w:color w:val="365F91"/>
          <w:sz w:val="32"/>
          <w:szCs w:val="36"/>
          <w:lang w:val="x-none" w:eastAsia="x-none"/>
        </w:rPr>
        <w:lastRenderedPageBreak/>
        <w:t>Other things to consider</w:t>
      </w:r>
    </w:p>
    <w:p w14:paraId="2109B66E" w14:textId="14871A4A" w:rsidR="00AB4A5A" w:rsidRPr="00C6718B" w:rsidRDefault="00660150" w:rsidP="00177FB2">
      <w:pPr>
        <w:spacing w:after="0" w:line="240" w:lineRule="auto"/>
      </w:pPr>
      <w:r w:rsidRPr="00C6718B">
        <w:t>Applications are invited from any researcher pursuing activity in the social sciences or policy engagement (</w:t>
      </w:r>
      <w:r w:rsidR="0001637A" w:rsidRPr="00C6718B">
        <w:t>whether</w:t>
      </w:r>
      <w:r w:rsidRPr="00C6718B">
        <w:t xml:space="preserve"> they are ESRC grant holders</w:t>
      </w:r>
      <w:r w:rsidR="0001637A">
        <w:t xml:space="preserve"> or not</w:t>
      </w:r>
      <w:r w:rsidRPr="00C6718B">
        <w:t xml:space="preserve">) who holds a current contract of employment as an independent researcher – at the point of application – with the University. This includes: all University Teaching Officers, </w:t>
      </w:r>
      <w:r w:rsidR="0001637A" w:rsidRPr="00C6718B">
        <w:t>externally funded</w:t>
      </w:r>
      <w:r w:rsidRPr="00C6718B">
        <w:t xml:space="preserve"> Research Fellows, Senior Research Associates, Research </w:t>
      </w:r>
      <w:r w:rsidR="0001637A" w:rsidRPr="00C6718B">
        <w:t>Associates,</w:t>
      </w:r>
      <w:r w:rsidRPr="00C6718B">
        <w:t xml:space="preserve"> and those working in research centres or other relevant non-School </w:t>
      </w:r>
      <w:r w:rsidR="00AB4A5A" w:rsidRPr="00C6718B">
        <w:t>institutions. Post-graduate students are not eligible to apply.</w:t>
      </w:r>
    </w:p>
    <w:p w14:paraId="0CA85708" w14:textId="77777777" w:rsidR="00177FB2" w:rsidRDefault="00177FB2" w:rsidP="00177FB2">
      <w:pPr>
        <w:spacing w:after="0" w:line="240" w:lineRule="auto"/>
      </w:pPr>
    </w:p>
    <w:p w14:paraId="311F82CF" w14:textId="74B417DE" w:rsidR="00AB4A5A" w:rsidRPr="00C6718B" w:rsidRDefault="005663C2" w:rsidP="005663C2">
      <w:pPr>
        <w:spacing w:after="0" w:line="240" w:lineRule="auto"/>
      </w:pPr>
      <w:r>
        <w:t xml:space="preserve">There will be </w:t>
      </w:r>
      <w:r w:rsidR="0010311A">
        <w:t>two</w:t>
      </w:r>
      <w:r>
        <w:t xml:space="preserve"> call</w:t>
      </w:r>
      <w:r w:rsidR="0010311A">
        <w:t>s</w:t>
      </w:r>
      <w:r>
        <w:t xml:space="preserve"> annually </w:t>
      </w:r>
      <w:r w:rsidR="00234E5D">
        <w:t xml:space="preserve">of the Social Science Impact Fund. </w:t>
      </w:r>
      <w:r>
        <w:t>T</w:t>
      </w:r>
      <w:r w:rsidR="00AB4A5A" w:rsidRPr="00C6718B">
        <w:t xml:space="preserve">he Discretionary Fund has no </w:t>
      </w:r>
      <w:r w:rsidR="00234E5D" w:rsidRPr="00C6718B">
        <w:t>deadline,</w:t>
      </w:r>
      <w:r w:rsidR="00AB4A5A" w:rsidRPr="00C6718B">
        <w:t xml:space="preserve"> and we aim to get decisions to applicants within ten days</w:t>
      </w:r>
      <w:r w:rsidR="00177FB2" w:rsidRPr="00C6718B">
        <w:t>.</w:t>
      </w:r>
    </w:p>
    <w:p w14:paraId="20E9FBD2" w14:textId="77777777" w:rsidR="00177FB2" w:rsidRPr="00C6718B" w:rsidRDefault="00177FB2" w:rsidP="00177FB2">
      <w:pPr>
        <w:spacing w:after="0" w:line="240" w:lineRule="auto"/>
      </w:pPr>
    </w:p>
    <w:p w14:paraId="4B6E58BE" w14:textId="77777777" w:rsidR="00103367" w:rsidRPr="00C6718B" w:rsidRDefault="00AB4A5A" w:rsidP="00177FB2">
      <w:pPr>
        <w:spacing w:after="0" w:line="240" w:lineRule="auto"/>
      </w:pPr>
      <w:r w:rsidRPr="00C6718B">
        <w:t xml:space="preserve">For the Impact Fund the maximum </w:t>
      </w:r>
      <w:r w:rsidR="00103367" w:rsidRPr="00C6718B">
        <w:t>award is £20k</w:t>
      </w:r>
      <w:r w:rsidR="00177FB2" w:rsidRPr="00C6718B">
        <w:t xml:space="preserve">, </w:t>
      </w:r>
      <w:r w:rsidR="00103367" w:rsidRPr="00C6718B">
        <w:t>projects must be completed in 12 months</w:t>
      </w:r>
      <w:r w:rsidR="00177FB2" w:rsidRPr="00C6718B">
        <w:t xml:space="preserve">, </w:t>
      </w:r>
      <w:r w:rsidR="00103367" w:rsidRPr="00C6718B">
        <w:t>award</w:t>
      </w:r>
      <w:r w:rsidRPr="00C6718B">
        <w:t>s</w:t>
      </w:r>
      <w:r w:rsidR="00103367" w:rsidRPr="00C6718B">
        <w:t xml:space="preserve"> will cover 100% of directly incurred costs but will not cover indirect costs</w:t>
      </w:r>
      <w:r w:rsidR="00C6718B" w:rsidRPr="00C6718B">
        <w:t>. Grants</w:t>
      </w:r>
      <w:r w:rsidR="00103367" w:rsidRPr="00C6718B">
        <w:t xml:space="preserve"> can be used to support staff on the project, consumables, travel etc. </w:t>
      </w:r>
      <w:r w:rsidR="00177FB2" w:rsidRPr="00C6718B">
        <w:t xml:space="preserve">but </w:t>
      </w:r>
      <w:r w:rsidR="00103367" w:rsidRPr="00C6718B">
        <w:t>cannot be used to support students or to cover PI time.</w:t>
      </w:r>
    </w:p>
    <w:p w14:paraId="634F465D" w14:textId="77777777" w:rsidR="006D3F13" w:rsidRPr="00C6718B" w:rsidRDefault="006D3F13" w:rsidP="00103367">
      <w:pPr>
        <w:spacing w:after="0" w:line="240" w:lineRule="auto"/>
      </w:pPr>
    </w:p>
    <w:p w14:paraId="734B59B7" w14:textId="6EACFE4B" w:rsidR="00EB6C77" w:rsidRPr="00C6718B" w:rsidRDefault="002D1AD4" w:rsidP="00C6718B">
      <w:r w:rsidRPr="00C6718B">
        <w:t>Letters of support from partner organisations, with details of their contribution to the project where appropriate, will help support your case.</w:t>
      </w:r>
      <w:r w:rsidR="00C6718B" w:rsidRPr="00C6718B">
        <w:t xml:space="preserve"> </w:t>
      </w:r>
      <w:r w:rsidR="00234E5D">
        <w:t xml:space="preserve">We will also need email confirmation of approval you’re your Head of Department </w:t>
      </w:r>
      <w:r w:rsidR="00EB6C77" w:rsidRPr="00C6718B">
        <w:t>(cross-departmental bids are encouraged)</w:t>
      </w:r>
      <w:r w:rsidR="00234E5D">
        <w:t>.</w:t>
      </w:r>
    </w:p>
    <w:p w14:paraId="2CBDABF5" w14:textId="77777777" w:rsidR="00851EED" w:rsidRPr="00EB6C77" w:rsidRDefault="00851EED" w:rsidP="00EB6C77">
      <w:pPr>
        <w:spacing w:after="240"/>
        <w:rPr>
          <w:rFonts w:ascii="Calibri" w:eastAsia="Times New Roman" w:hAnsi="Calibri" w:cs="Times New Roman"/>
          <w:b/>
          <w:bCs/>
          <w:color w:val="365F91"/>
          <w:sz w:val="32"/>
          <w:szCs w:val="36"/>
          <w:lang w:val="x-none" w:eastAsia="x-none"/>
        </w:rPr>
      </w:pPr>
      <w:r w:rsidRPr="00C6718B">
        <w:rPr>
          <w:rFonts w:ascii="Calibri" w:eastAsia="Times New Roman" w:hAnsi="Calibri" w:cs="Times New Roman"/>
          <w:b/>
          <w:bCs/>
          <w:color w:val="365F91"/>
          <w:sz w:val="32"/>
          <w:szCs w:val="36"/>
          <w:lang w:val="x-none" w:eastAsia="x-none"/>
        </w:rPr>
        <w:t>Assessment criteria</w:t>
      </w:r>
      <w:r w:rsidRPr="00EB6C77">
        <w:rPr>
          <w:rFonts w:ascii="Calibri" w:eastAsia="Times New Roman" w:hAnsi="Calibri" w:cs="Times New Roman"/>
          <w:b/>
          <w:bCs/>
          <w:color w:val="365F91"/>
          <w:sz w:val="32"/>
          <w:szCs w:val="36"/>
          <w:lang w:val="x-none" w:eastAsia="x-none"/>
        </w:rPr>
        <w:t xml:space="preserve"> </w:t>
      </w:r>
    </w:p>
    <w:p w14:paraId="037A8DD4" w14:textId="77777777" w:rsidR="00851EED" w:rsidRPr="00851EED" w:rsidRDefault="00851EED" w:rsidP="008C5575">
      <w:pPr>
        <w:spacing w:after="240"/>
        <w:jc w:val="both"/>
      </w:pPr>
      <w:r w:rsidRPr="00851EED">
        <w:t xml:space="preserve">Applications </w:t>
      </w:r>
      <w:r w:rsidR="007C0A0F">
        <w:t xml:space="preserve">to all funds </w:t>
      </w:r>
      <w:r w:rsidRPr="00851EED">
        <w:t>will be assessed against the following criteria:</w:t>
      </w:r>
    </w:p>
    <w:p w14:paraId="0F9FBDDC" w14:textId="6C083241" w:rsidR="006B2515" w:rsidRPr="006B2515" w:rsidRDefault="006B2515" w:rsidP="006B2515">
      <w:pPr>
        <w:pStyle w:val="ListParagraph"/>
        <w:numPr>
          <w:ilvl w:val="0"/>
          <w:numId w:val="33"/>
        </w:numPr>
      </w:pPr>
      <w:r w:rsidRPr="006B2515">
        <w:t xml:space="preserve">Quality of the impact plan: including relevance and timeliness of proposed activity, clear objectives that align with aims, clear identification of the beneficiaries, stakeholders, and partners, and their potential involvement with the activities, achievable milestones over the life of the project, and </w:t>
      </w:r>
      <w:r w:rsidR="00734668">
        <w:t xml:space="preserve">outputs, </w:t>
      </w:r>
      <w:r w:rsidRPr="006B2515">
        <w:t>metrics</w:t>
      </w:r>
      <w:r w:rsidR="00734668">
        <w:t>,</w:t>
      </w:r>
      <w:r w:rsidRPr="006B2515">
        <w:t xml:space="preserve"> or indicators against which long-term success could be </w:t>
      </w:r>
      <w:proofErr w:type="gramStart"/>
      <w:r w:rsidRPr="006B2515">
        <w:t>gauged;</w:t>
      </w:r>
      <w:proofErr w:type="gramEnd"/>
    </w:p>
    <w:p w14:paraId="7E434B1A" w14:textId="77777777" w:rsidR="00D537AA" w:rsidRDefault="00D537AA" w:rsidP="00D537AA">
      <w:pPr>
        <w:pStyle w:val="ListParagraph"/>
        <w:numPr>
          <w:ilvl w:val="0"/>
          <w:numId w:val="33"/>
        </w:numPr>
        <w:spacing w:after="240"/>
      </w:pPr>
      <w:r>
        <w:t xml:space="preserve">Project management: A clear description of how the project will be </w:t>
      </w:r>
      <w:proofErr w:type="gramStart"/>
      <w:r>
        <w:t>managed;</w:t>
      </w:r>
      <w:proofErr w:type="gramEnd"/>
    </w:p>
    <w:p w14:paraId="76A52EC3" w14:textId="77777777" w:rsidR="00D537AA" w:rsidRDefault="00D537AA" w:rsidP="00D537AA">
      <w:pPr>
        <w:pStyle w:val="ListParagraph"/>
        <w:numPr>
          <w:ilvl w:val="0"/>
          <w:numId w:val="33"/>
        </w:numPr>
        <w:spacing w:after="240"/>
      </w:pPr>
      <w:r>
        <w:t xml:space="preserve">Added value: the application must describe how the award will be expected to develop or enhance the prospect of impact and be additional to existing Research Council or other funding for impact activities, additionally the way in which the award will benefit both the applicant and target </w:t>
      </w:r>
      <w:proofErr w:type="gramStart"/>
      <w:r>
        <w:t>audience;</w:t>
      </w:r>
      <w:proofErr w:type="gramEnd"/>
    </w:p>
    <w:p w14:paraId="39FFD4AB" w14:textId="77777777" w:rsidR="00D537AA" w:rsidRDefault="00D537AA" w:rsidP="00D537AA">
      <w:pPr>
        <w:pStyle w:val="ListParagraph"/>
        <w:numPr>
          <w:ilvl w:val="0"/>
          <w:numId w:val="33"/>
        </w:numPr>
        <w:spacing w:after="240"/>
      </w:pPr>
      <w:r>
        <w:t xml:space="preserve">Budget: A clear outline and rationale for the activities included in the proposal. Co-funding of activities is encouraged, but not </w:t>
      </w:r>
      <w:proofErr w:type="gramStart"/>
      <w:r>
        <w:t>required;</w:t>
      </w:r>
      <w:proofErr w:type="gramEnd"/>
    </w:p>
    <w:p w14:paraId="268E7844" w14:textId="77777777" w:rsidR="00D537AA" w:rsidRDefault="00D537AA" w:rsidP="00D537AA">
      <w:pPr>
        <w:pStyle w:val="ListParagraph"/>
        <w:numPr>
          <w:ilvl w:val="0"/>
          <w:numId w:val="33"/>
        </w:numPr>
        <w:spacing w:after="240"/>
      </w:pPr>
      <w:r>
        <w:t>Where partners or collaborators are involved in activities and outputs, a clear statement of any commitment in kind or in terms of co-funding by those organisations should be provided in a letter of support.</w:t>
      </w:r>
    </w:p>
    <w:p w14:paraId="42A8A1DE" w14:textId="77777777" w:rsidR="00851EED" w:rsidRPr="00EB6C77" w:rsidRDefault="00851EED" w:rsidP="00EB6C77">
      <w:pPr>
        <w:spacing w:after="240"/>
        <w:rPr>
          <w:rFonts w:ascii="Calibri" w:eastAsia="Times New Roman" w:hAnsi="Calibri" w:cs="Times New Roman"/>
          <w:b/>
          <w:bCs/>
          <w:color w:val="365F91"/>
          <w:sz w:val="32"/>
          <w:szCs w:val="36"/>
          <w:lang w:val="x-none" w:eastAsia="x-none"/>
        </w:rPr>
      </w:pPr>
      <w:r w:rsidRPr="00EB6C77">
        <w:rPr>
          <w:rFonts w:ascii="Calibri" w:eastAsia="Times New Roman" w:hAnsi="Calibri" w:cs="Times New Roman"/>
          <w:b/>
          <w:bCs/>
          <w:color w:val="365F91"/>
          <w:sz w:val="32"/>
          <w:szCs w:val="36"/>
          <w:lang w:val="x-none" w:eastAsia="x-none"/>
        </w:rPr>
        <w:t>Evaluation</w:t>
      </w:r>
    </w:p>
    <w:p w14:paraId="5A56A155" w14:textId="424EC633" w:rsidR="00851EED" w:rsidRDefault="000626EB" w:rsidP="00626B9D">
      <w:pPr>
        <w:spacing w:after="240"/>
      </w:pPr>
      <w:r>
        <w:t>Applications to all schemes</w:t>
      </w:r>
      <w:r w:rsidR="00851EED">
        <w:t xml:space="preserve"> will be evaluated by a cross departmental </w:t>
      </w:r>
      <w:r w:rsidR="00C830C0">
        <w:t>Steering Group</w:t>
      </w:r>
      <w:r w:rsidR="007D6A6C">
        <w:t xml:space="preserve"> comprised of senior researchers</w:t>
      </w:r>
      <w:r w:rsidR="00C830C0">
        <w:t>.</w:t>
      </w:r>
    </w:p>
    <w:p w14:paraId="631665B2" w14:textId="77777777" w:rsidR="00626B9D" w:rsidRDefault="00626B9D" w:rsidP="00626B9D">
      <w:pPr>
        <w:spacing w:after="240"/>
      </w:pPr>
    </w:p>
    <w:p w14:paraId="487811FF" w14:textId="77777777" w:rsidR="00851EED" w:rsidRPr="00EB6C77" w:rsidRDefault="00851EED" w:rsidP="00EB6C77">
      <w:pPr>
        <w:spacing w:after="240"/>
        <w:rPr>
          <w:rFonts w:ascii="Calibri" w:eastAsia="Times New Roman" w:hAnsi="Calibri" w:cs="Times New Roman"/>
          <w:b/>
          <w:bCs/>
          <w:color w:val="365F91"/>
          <w:sz w:val="32"/>
          <w:szCs w:val="36"/>
          <w:lang w:val="x-none" w:eastAsia="x-none"/>
        </w:rPr>
      </w:pPr>
      <w:r w:rsidRPr="00EB6C77">
        <w:rPr>
          <w:rFonts w:ascii="Calibri" w:eastAsia="Times New Roman" w:hAnsi="Calibri" w:cs="Times New Roman"/>
          <w:b/>
          <w:bCs/>
          <w:color w:val="365F91"/>
          <w:sz w:val="32"/>
          <w:szCs w:val="36"/>
          <w:lang w:val="x-none" w:eastAsia="x-none"/>
        </w:rPr>
        <w:lastRenderedPageBreak/>
        <w:t>Progress and Final Reports</w:t>
      </w:r>
    </w:p>
    <w:p w14:paraId="14D8166F" w14:textId="4B4572B7" w:rsidR="00B93BFB" w:rsidRPr="00626B9D" w:rsidRDefault="009C3EE9" w:rsidP="00626B9D">
      <w:pPr>
        <w:spacing w:after="240"/>
      </w:pPr>
      <w:r>
        <w:t>For Impact Fund projects, p</w:t>
      </w:r>
      <w:r w:rsidR="00851EED">
        <w:t xml:space="preserve">rogress updates from project </w:t>
      </w:r>
      <w:r>
        <w:t>holders will be required after three</w:t>
      </w:r>
      <w:r w:rsidR="00851EED">
        <w:t xml:space="preserve"> months, or </w:t>
      </w:r>
      <w:r w:rsidR="00626B9D">
        <w:t>halfway</w:t>
      </w:r>
      <w:r w:rsidR="000110FC">
        <w:t xml:space="preserve"> through the project</w:t>
      </w:r>
      <w:r w:rsidR="008E3F3D">
        <w:t xml:space="preserve">, whichever is sooner. </w:t>
      </w:r>
      <w:r w:rsidR="00851EED">
        <w:t>Updates shall be brief (approx</w:t>
      </w:r>
      <w:r w:rsidR="000110FC">
        <w:t>imately</w:t>
      </w:r>
      <w:r w:rsidR="00851EED">
        <w:t xml:space="preserve"> 250-400 word</w:t>
      </w:r>
      <w:r w:rsidR="004F44D5">
        <w:t>s</w:t>
      </w:r>
      <w:r w:rsidR="00734668">
        <w:t>, via e-mail</w:t>
      </w:r>
      <w:r w:rsidR="00851EED">
        <w:t xml:space="preserve">) and will outline progress against the milestones proposed for the project and agreed by the members of the </w:t>
      </w:r>
      <w:r w:rsidR="006D3F13">
        <w:t>Steering Group</w:t>
      </w:r>
      <w:r w:rsidR="00851EED">
        <w:t xml:space="preserve">.  A </w:t>
      </w:r>
      <w:r w:rsidR="00626B9D">
        <w:t>f</w:t>
      </w:r>
      <w:r w:rsidR="00851EED">
        <w:t>inal End</w:t>
      </w:r>
      <w:r w:rsidR="00626B9D">
        <w:t>-</w:t>
      </w:r>
      <w:r w:rsidR="00851EED">
        <w:t>of</w:t>
      </w:r>
      <w:r w:rsidR="00626B9D">
        <w:t>-</w:t>
      </w:r>
      <w:r w:rsidR="00851EED">
        <w:t xml:space="preserve">Award Report will be required </w:t>
      </w:r>
      <w:r w:rsidR="009656B1">
        <w:t>after projects have</w:t>
      </w:r>
      <w:r w:rsidR="00626B9D">
        <w:t xml:space="preserve"> come to an end and this will be used to complete the annual ESRC reporting.</w:t>
      </w:r>
      <w:r w:rsidR="00B93BFB">
        <w:rPr>
          <w:color w:val="0000FF" w:themeColor="hyperlink"/>
          <w:u w:val="single"/>
          <w:lang w:eastAsia="x-none"/>
        </w:rPr>
        <w:br w:type="page"/>
      </w:r>
    </w:p>
    <w:p w14:paraId="40E15380" w14:textId="77777777" w:rsidR="00B93BFB" w:rsidRPr="00B93BFB" w:rsidRDefault="00B93BFB" w:rsidP="00B93BFB">
      <w:pPr>
        <w:spacing w:after="240"/>
        <w:rPr>
          <w:b/>
          <w:sz w:val="24"/>
          <w:szCs w:val="24"/>
        </w:rPr>
      </w:pPr>
      <w:r w:rsidRPr="00B93BFB">
        <w:rPr>
          <w:b/>
          <w:sz w:val="24"/>
          <w:szCs w:val="24"/>
        </w:rPr>
        <w:lastRenderedPageBreak/>
        <w:t>Annex A:</w:t>
      </w:r>
      <w:r w:rsidR="008C5575">
        <w:rPr>
          <w:b/>
          <w:sz w:val="24"/>
          <w:szCs w:val="24"/>
        </w:rPr>
        <w:t xml:space="preserve"> </w:t>
      </w:r>
      <w:r w:rsidR="00352833" w:rsidRPr="00352833">
        <w:rPr>
          <w:b/>
          <w:sz w:val="24"/>
          <w:szCs w:val="24"/>
        </w:rPr>
        <w:t>Partners, Collaborators, Stakeholders, and Beneficiaries</w:t>
      </w:r>
    </w:p>
    <w:p w14:paraId="1F4D31AA" w14:textId="77777777" w:rsidR="00B93BFB" w:rsidRDefault="00B93BFB" w:rsidP="00B93BFB">
      <w:pPr>
        <w:spacing w:after="240"/>
      </w:pPr>
      <w:r>
        <w:t>Below are some examples of</w:t>
      </w:r>
      <w:r w:rsidR="008C5575">
        <w:t xml:space="preserve"> partners,</w:t>
      </w:r>
      <w:r>
        <w:t xml:space="preserve"> </w:t>
      </w:r>
      <w:r w:rsidR="001D065B" w:rsidRPr="001D065B">
        <w:t>collaborators</w:t>
      </w:r>
      <w:r w:rsidR="001D065B">
        <w:t xml:space="preserve">, </w:t>
      </w:r>
      <w:r w:rsidR="008C5575">
        <w:t>stakeholders,</w:t>
      </w:r>
      <w:r w:rsidR="008C5575" w:rsidRPr="008C5575">
        <w:t xml:space="preserve"> </w:t>
      </w:r>
      <w:r w:rsidR="001D065B">
        <w:t xml:space="preserve">and </w:t>
      </w:r>
      <w:r>
        <w:t>beneficiaries</w:t>
      </w:r>
      <w:r w:rsidR="008C5575">
        <w:t xml:space="preserve"> </w:t>
      </w:r>
      <w:r>
        <w:t xml:space="preserve">and the impacts that may be generated by your activities. </w:t>
      </w:r>
    </w:p>
    <w:p w14:paraId="6F770A44" w14:textId="77777777" w:rsidR="00B93BFB" w:rsidRPr="00177FB2" w:rsidRDefault="00B93BFB" w:rsidP="00B93BFB">
      <w:pPr>
        <w:pStyle w:val="ListParagraph"/>
        <w:numPr>
          <w:ilvl w:val="0"/>
          <w:numId w:val="32"/>
        </w:numPr>
        <w:spacing w:after="240"/>
        <w:rPr>
          <w:b/>
        </w:rPr>
      </w:pPr>
      <w:r w:rsidRPr="00177FB2">
        <w:rPr>
          <w:b/>
        </w:rPr>
        <w:t>Civil Society, Social Justice, Public Policy; Justice, Rights &amp; Welfare</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985"/>
      </w:tblGrid>
      <w:tr w:rsidR="00B93BFB" w14:paraId="6B41FC62" w14:textId="77777777" w:rsidTr="00BE0576">
        <w:tc>
          <w:tcPr>
            <w:tcW w:w="4087" w:type="dxa"/>
          </w:tcPr>
          <w:p w14:paraId="44D1C5CB" w14:textId="77777777" w:rsidR="00B93BFB" w:rsidRDefault="00B93BFB" w:rsidP="00BE0576">
            <w:r>
              <w:t>Potential beneficiaries include:</w:t>
            </w:r>
          </w:p>
          <w:p w14:paraId="3E9DD696" w14:textId="77777777" w:rsidR="00B93BFB" w:rsidRDefault="00B93BFB" w:rsidP="00BE0576">
            <w:pPr>
              <w:pStyle w:val="ListParagraph"/>
              <w:numPr>
                <w:ilvl w:val="0"/>
                <w:numId w:val="11"/>
              </w:numPr>
            </w:pPr>
            <w:r>
              <w:t>Advocacy groups or lobbyists</w:t>
            </w:r>
          </w:p>
          <w:p w14:paraId="483E0A2A" w14:textId="77777777" w:rsidR="00B93BFB" w:rsidRDefault="00B93BFB" w:rsidP="00BE0576">
            <w:pPr>
              <w:pStyle w:val="ListParagraph"/>
              <w:numPr>
                <w:ilvl w:val="0"/>
                <w:numId w:val="11"/>
              </w:numPr>
            </w:pPr>
            <w:r>
              <w:t>Citizens</w:t>
            </w:r>
          </w:p>
          <w:p w14:paraId="0F18C6A7" w14:textId="77777777" w:rsidR="00B93BFB" w:rsidRDefault="00B93BFB" w:rsidP="00BE0576">
            <w:pPr>
              <w:pStyle w:val="ListParagraph"/>
              <w:numPr>
                <w:ilvl w:val="0"/>
                <w:numId w:val="11"/>
              </w:numPr>
            </w:pPr>
            <w:r>
              <w:t>Courts</w:t>
            </w:r>
          </w:p>
          <w:p w14:paraId="44899C88" w14:textId="77777777" w:rsidR="00B93BFB" w:rsidRDefault="00B93BFB" w:rsidP="00BE0576">
            <w:pPr>
              <w:pStyle w:val="ListParagraph"/>
              <w:numPr>
                <w:ilvl w:val="0"/>
                <w:numId w:val="11"/>
              </w:numPr>
            </w:pPr>
            <w:r>
              <w:t>Charitable organisations</w:t>
            </w:r>
          </w:p>
          <w:p w14:paraId="6E46D928" w14:textId="77777777" w:rsidR="00B93BFB" w:rsidRDefault="00B93BFB" w:rsidP="00BE0576">
            <w:pPr>
              <w:pStyle w:val="ListParagraph"/>
              <w:numPr>
                <w:ilvl w:val="0"/>
                <w:numId w:val="11"/>
              </w:numPr>
            </w:pPr>
            <w:r>
              <w:t>EU or other European organisations</w:t>
            </w:r>
          </w:p>
          <w:p w14:paraId="2F05C5E0" w14:textId="77777777" w:rsidR="00B93BFB" w:rsidRDefault="00B93BFB" w:rsidP="00BE0576">
            <w:pPr>
              <w:pStyle w:val="ListParagraph"/>
              <w:numPr>
                <w:ilvl w:val="0"/>
                <w:numId w:val="11"/>
              </w:numPr>
            </w:pPr>
            <w:r>
              <w:t>Intergovernmental organisations</w:t>
            </w:r>
          </w:p>
          <w:p w14:paraId="0B84DD0C" w14:textId="77777777" w:rsidR="00B93BFB" w:rsidRDefault="00B93BFB" w:rsidP="00BE0576">
            <w:pPr>
              <w:pStyle w:val="ListParagraph"/>
              <w:numPr>
                <w:ilvl w:val="0"/>
                <w:numId w:val="11"/>
              </w:numPr>
            </w:pPr>
            <w:r>
              <w:t>Local / regional governments</w:t>
            </w:r>
          </w:p>
          <w:p w14:paraId="0320D175" w14:textId="77777777" w:rsidR="00B93BFB" w:rsidRDefault="00B93BFB" w:rsidP="00BE0576">
            <w:pPr>
              <w:pStyle w:val="ListParagraph"/>
              <w:numPr>
                <w:ilvl w:val="0"/>
                <w:numId w:val="11"/>
              </w:numPr>
            </w:pPr>
            <w:r>
              <w:t>Military</w:t>
            </w:r>
          </w:p>
          <w:p w14:paraId="1D101C8B" w14:textId="77777777" w:rsidR="00B93BFB" w:rsidRDefault="00B93BFB" w:rsidP="00BE0576">
            <w:pPr>
              <w:pStyle w:val="ListParagraph"/>
              <w:numPr>
                <w:ilvl w:val="0"/>
                <w:numId w:val="11"/>
              </w:numPr>
            </w:pPr>
            <w:r>
              <w:t>National governments</w:t>
            </w:r>
          </w:p>
          <w:p w14:paraId="0E23CC54" w14:textId="77777777" w:rsidR="00B93BFB" w:rsidRDefault="00B93BFB" w:rsidP="00BE0576">
            <w:pPr>
              <w:pStyle w:val="ListParagraph"/>
              <w:numPr>
                <w:ilvl w:val="0"/>
                <w:numId w:val="11"/>
              </w:numPr>
            </w:pPr>
            <w:r>
              <w:t>NGOs</w:t>
            </w:r>
          </w:p>
          <w:p w14:paraId="0E62761B" w14:textId="77777777" w:rsidR="00B93BFB" w:rsidRDefault="00B93BFB" w:rsidP="00BE0576">
            <w:pPr>
              <w:pStyle w:val="ListParagraph"/>
              <w:numPr>
                <w:ilvl w:val="0"/>
                <w:numId w:val="11"/>
              </w:numPr>
            </w:pPr>
            <w:r>
              <w:t>Policy makers</w:t>
            </w:r>
          </w:p>
          <w:p w14:paraId="72599723" w14:textId="77777777" w:rsidR="00B93BFB" w:rsidRDefault="00B93BFB" w:rsidP="00BE0576">
            <w:pPr>
              <w:pStyle w:val="ListParagraph"/>
              <w:numPr>
                <w:ilvl w:val="0"/>
                <w:numId w:val="11"/>
              </w:numPr>
            </w:pPr>
            <w:r>
              <w:t>Public Bodies</w:t>
            </w:r>
          </w:p>
          <w:p w14:paraId="720815CB" w14:textId="77777777" w:rsidR="00B93BFB" w:rsidRDefault="00B93BFB" w:rsidP="00BE0576">
            <w:pPr>
              <w:pStyle w:val="ListParagraph"/>
              <w:numPr>
                <w:ilvl w:val="0"/>
                <w:numId w:val="11"/>
              </w:numPr>
            </w:pPr>
            <w:r>
              <w:t>Quangos</w:t>
            </w:r>
          </w:p>
          <w:p w14:paraId="3B390528" w14:textId="77777777" w:rsidR="00B93BFB" w:rsidRDefault="00B93BFB" w:rsidP="00BE0576">
            <w:pPr>
              <w:pStyle w:val="ListParagraph"/>
              <w:numPr>
                <w:ilvl w:val="0"/>
                <w:numId w:val="11"/>
              </w:numPr>
            </w:pPr>
            <w:r>
              <w:t>Regulatory bodies</w:t>
            </w:r>
          </w:p>
          <w:p w14:paraId="1587A57A" w14:textId="77777777" w:rsidR="00B93BFB" w:rsidRDefault="00B93BFB" w:rsidP="00BE0576">
            <w:pPr>
              <w:pStyle w:val="ListParagraph"/>
              <w:numPr>
                <w:ilvl w:val="0"/>
                <w:numId w:val="11"/>
              </w:numPr>
            </w:pPr>
            <w:r>
              <w:t>Specific communities or groups (UK or elsewhere)</w:t>
            </w:r>
          </w:p>
          <w:p w14:paraId="0FE3F9E9" w14:textId="77777777" w:rsidR="00B93BFB" w:rsidRDefault="00B93BFB" w:rsidP="00BE0576">
            <w:pPr>
              <w:pStyle w:val="ListParagraph"/>
              <w:numPr>
                <w:ilvl w:val="0"/>
                <w:numId w:val="11"/>
              </w:numPr>
            </w:pPr>
            <w:r>
              <w:t>Think tanks</w:t>
            </w:r>
          </w:p>
        </w:tc>
        <w:tc>
          <w:tcPr>
            <w:tcW w:w="4985" w:type="dxa"/>
          </w:tcPr>
          <w:p w14:paraId="37F72926" w14:textId="77777777" w:rsidR="00B93BFB" w:rsidRDefault="00B93BFB" w:rsidP="00BE0576">
            <w:pPr>
              <w:pStyle w:val="ListParagraph"/>
            </w:pPr>
            <w:r>
              <w:t>IMPACTS ON</w:t>
            </w:r>
          </w:p>
          <w:p w14:paraId="1FF277EA" w14:textId="77777777" w:rsidR="00B93BFB" w:rsidRDefault="00B93BFB" w:rsidP="00BE0576">
            <w:pPr>
              <w:pStyle w:val="ListParagraph"/>
              <w:numPr>
                <w:ilvl w:val="0"/>
                <w:numId w:val="11"/>
              </w:numPr>
            </w:pPr>
            <w:r>
              <w:t>Access to justice and other opportunities (including employment and education)</w:t>
            </w:r>
          </w:p>
          <w:p w14:paraId="33EF0F12" w14:textId="77777777" w:rsidR="00B93BFB" w:rsidRDefault="00B93BFB" w:rsidP="00BE0576">
            <w:pPr>
              <w:pStyle w:val="ListParagraph"/>
              <w:numPr>
                <w:ilvl w:val="0"/>
                <w:numId w:val="11"/>
              </w:numPr>
            </w:pPr>
            <w:r>
              <w:t>Capacity to fulfil treaty or reporting obligations</w:t>
            </w:r>
          </w:p>
          <w:p w14:paraId="7521EED1" w14:textId="77777777" w:rsidR="00B93BFB" w:rsidRDefault="00B93BFB" w:rsidP="00BE0576">
            <w:pPr>
              <w:pStyle w:val="ListParagraph"/>
              <w:numPr>
                <w:ilvl w:val="0"/>
                <w:numId w:val="11"/>
              </w:numPr>
            </w:pPr>
            <w:r>
              <w:t>Decisions by a public service or regulatory authority</w:t>
            </w:r>
          </w:p>
          <w:p w14:paraId="31D3BA7E" w14:textId="77777777" w:rsidR="00B93BFB" w:rsidRDefault="00B93BFB" w:rsidP="00BE0576">
            <w:pPr>
              <w:pStyle w:val="ListParagraph"/>
              <w:numPr>
                <w:ilvl w:val="0"/>
                <w:numId w:val="11"/>
              </w:numPr>
            </w:pPr>
            <w:r>
              <w:t>Ethical standards</w:t>
            </w:r>
          </w:p>
          <w:p w14:paraId="22A64346" w14:textId="77777777" w:rsidR="00B93BFB" w:rsidRDefault="00B93BFB" w:rsidP="00BE0576">
            <w:pPr>
              <w:pStyle w:val="ListParagraph"/>
              <w:numPr>
                <w:ilvl w:val="0"/>
                <w:numId w:val="11"/>
              </w:numPr>
            </w:pPr>
            <w:r>
              <w:t>Evidence based policy</w:t>
            </w:r>
          </w:p>
          <w:p w14:paraId="5F6FA38D" w14:textId="77777777" w:rsidR="00B93BFB" w:rsidRDefault="00B93BFB" w:rsidP="00BE0576">
            <w:pPr>
              <w:pStyle w:val="ListParagraph"/>
              <w:numPr>
                <w:ilvl w:val="0"/>
                <w:numId w:val="11"/>
              </w:numPr>
            </w:pPr>
            <w:r>
              <w:t>Human development</w:t>
            </w:r>
          </w:p>
          <w:p w14:paraId="58E2513B" w14:textId="77777777" w:rsidR="00B93BFB" w:rsidRDefault="00B93BFB" w:rsidP="00BE0576">
            <w:pPr>
              <w:pStyle w:val="ListParagraph"/>
              <w:numPr>
                <w:ilvl w:val="0"/>
                <w:numId w:val="11"/>
              </w:numPr>
            </w:pPr>
            <w:r>
              <w:t>Human rights</w:t>
            </w:r>
          </w:p>
          <w:p w14:paraId="7D532BAE" w14:textId="77777777" w:rsidR="00B93BFB" w:rsidRDefault="00B93BFB" w:rsidP="00BE0576">
            <w:pPr>
              <w:pStyle w:val="ListParagraph"/>
              <w:numPr>
                <w:ilvl w:val="0"/>
                <w:numId w:val="11"/>
              </w:numPr>
            </w:pPr>
            <w:r>
              <w:t>Humanitarian action and relief (including monitoring or evaluation of these)</w:t>
            </w:r>
          </w:p>
          <w:p w14:paraId="7ABFBDF3" w14:textId="77777777" w:rsidR="00B93BFB" w:rsidRDefault="00B93BFB" w:rsidP="00BE0576">
            <w:pPr>
              <w:pStyle w:val="ListParagraph"/>
              <w:numPr>
                <w:ilvl w:val="0"/>
                <w:numId w:val="11"/>
              </w:numPr>
            </w:pPr>
            <w:r>
              <w:t>International development</w:t>
            </w:r>
          </w:p>
          <w:p w14:paraId="28E70A57" w14:textId="77777777" w:rsidR="00B93BFB" w:rsidRDefault="00B93BFB" w:rsidP="00BE0576">
            <w:pPr>
              <w:pStyle w:val="ListParagraph"/>
              <w:numPr>
                <w:ilvl w:val="0"/>
                <w:numId w:val="11"/>
              </w:numPr>
            </w:pPr>
            <w:r>
              <w:t>International guidelines or policy (governmental or otherwise)</w:t>
            </w:r>
          </w:p>
          <w:p w14:paraId="42847735" w14:textId="77777777" w:rsidR="00B93BFB" w:rsidRDefault="00B93BFB" w:rsidP="00BE0576">
            <w:pPr>
              <w:pStyle w:val="ListParagraph"/>
              <w:numPr>
                <w:ilvl w:val="0"/>
                <w:numId w:val="11"/>
              </w:numPr>
            </w:pPr>
            <w:r>
              <w:t>Law enforcement</w:t>
            </w:r>
          </w:p>
          <w:p w14:paraId="6EDE10A8" w14:textId="77777777" w:rsidR="00B93BFB" w:rsidRDefault="00B93BFB" w:rsidP="00BE0576">
            <w:pPr>
              <w:pStyle w:val="ListParagraph"/>
              <w:numPr>
                <w:ilvl w:val="0"/>
                <w:numId w:val="11"/>
              </w:numPr>
            </w:pPr>
            <w:r>
              <w:t>Legal and other frameworks</w:t>
            </w:r>
          </w:p>
          <w:p w14:paraId="5831E628" w14:textId="77777777" w:rsidR="00B93BFB" w:rsidRDefault="00B93BFB" w:rsidP="00BE0576">
            <w:pPr>
              <w:pStyle w:val="ListParagraph"/>
              <w:numPr>
                <w:ilvl w:val="0"/>
                <w:numId w:val="11"/>
              </w:numPr>
            </w:pPr>
            <w:r>
              <w:t>Legislative change, development of legal principle or effect on legal practice</w:t>
            </w:r>
          </w:p>
          <w:p w14:paraId="0D576061" w14:textId="77777777" w:rsidR="00B93BFB" w:rsidRDefault="00B93BFB" w:rsidP="00BE0576">
            <w:pPr>
              <w:pStyle w:val="ListParagraph"/>
              <w:numPr>
                <w:ilvl w:val="0"/>
                <w:numId w:val="11"/>
              </w:numPr>
            </w:pPr>
            <w:r>
              <w:t xml:space="preserve">National, </w:t>
            </w:r>
            <w:proofErr w:type="gramStart"/>
            <w:r>
              <w:t>regional</w:t>
            </w:r>
            <w:proofErr w:type="gramEnd"/>
            <w:r>
              <w:t xml:space="preserve"> or local guidelines or policy (governmental or otherwise)</w:t>
            </w:r>
          </w:p>
          <w:p w14:paraId="6C192687" w14:textId="77777777" w:rsidR="00B93BFB" w:rsidRDefault="00B93BFB" w:rsidP="00BE0576">
            <w:pPr>
              <w:pStyle w:val="ListParagraph"/>
              <w:numPr>
                <w:ilvl w:val="0"/>
                <w:numId w:val="11"/>
              </w:numPr>
            </w:pPr>
            <w:r>
              <w:t>Standards or contents of policy discussion and debate</w:t>
            </w:r>
          </w:p>
          <w:p w14:paraId="1BE7F937" w14:textId="77777777" w:rsidR="00B93BFB" w:rsidRDefault="00B93BFB" w:rsidP="00BE0576">
            <w:pPr>
              <w:pStyle w:val="ListParagraph"/>
              <w:numPr>
                <w:ilvl w:val="0"/>
                <w:numId w:val="11"/>
              </w:numPr>
            </w:pPr>
            <w:r>
              <w:t>Political and legislative processes</w:t>
            </w:r>
          </w:p>
          <w:p w14:paraId="2D506350" w14:textId="77777777" w:rsidR="00B93BFB" w:rsidRDefault="00B93BFB" w:rsidP="00BE0576">
            <w:pPr>
              <w:pStyle w:val="ListParagraph"/>
              <w:numPr>
                <w:ilvl w:val="0"/>
                <w:numId w:val="11"/>
              </w:numPr>
            </w:pPr>
            <w:r>
              <w:t>Public awareness, attitudes or understanding</w:t>
            </w:r>
          </w:p>
          <w:p w14:paraId="7FFEAD9B" w14:textId="77777777" w:rsidR="00B93BFB" w:rsidRDefault="00B93BFB" w:rsidP="00BE0576">
            <w:pPr>
              <w:pStyle w:val="ListParagraph"/>
              <w:numPr>
                <w:ilvl w:val="0"/>
                <w:numId w:val="11"/>
              </w:numPr>
            </w:pPr>
            <w:r>
              <w:t>Public participation in political and social processes</w:t>
            </w:r>
          </w:p>
          <w:p w14:paraId="68570054" w14:textId="77777777" w:rsidR="00B93BFB" w:rsidRDefault="00B93BFB" w:rsidP="00BE0576">
            <w:pPr>
              <w:pStyle w:val="ListParagraph"/>
              <w:numPr>
                <w:ilvl w:val="0"/>
                <w:numId w:val="11"/>
              </w:numPr>
            </w:pPr>
            <w:r>
              <w:t>Public spending decisions</w:t>
            </w:r>
          </w:p>
          <w:p w14:paraId="6CB47B71" w14:textId="77777777" w:rsidR="00B93BFB" w:rsidRDefault="00B93BFB" w:rsidP="00BE0576">
            <w:pPr>
              <w:pStyle w:val="ListParagraph"/>
              <w:numPr>
                <w:ilvl w:val="0"/>
                <w:numId w:val="11"/>
              </w:numPr>
            </w:pPr>
            <w:r>
              <w:t>Security</w:t>
            </w:r>
          </w:p>
          <w:p w14:paraId="62F09197" w14:textId="77777777" w:rsidR="00B93BFB" w:rsidRDefault="00B93BFB" w:rsidP="00BE0576">
            <w:pPr>
              <w:pStyle w:val="ListParagraph"/>
              <w:numPr>
                <w:ilvl w:val="0"/>
                <w:numId w:val="11"/>
              </w:numPr>
            </w:pPr>
            <w:r>
              <w:t xml:space="preserve">Social welfare, </w:t>
            </w:r>
            <w:proofErr w:type="gramStart"/>
            <w:r>
              <w:t>equality</w:t>
            </w:r>
            <w:proofErr w:type="gramEnd"/>
            <w:r>
              <w:t xml:space="preserve"> and inclusion</w:t>
            </w:r>
          </w:p>
          <w:p w14:paraId="420E2B4B" w14:textId="77777777" w:rsidR="00B93BFB" w:rsidRDefault="00B93BFB" w:rsidP="00BE0576">
            <w:pPr>
              <w:pStyle w:val="ListParagraph"/>
              <w:numPr>
                <w:ilvl w:val="0"/>
                <w:numId w:val="11"/>
              </w:numPr>
            </w:pPr>
            <w:r>
              <w:t xml:space="preserve">Understanding of minority linguistic, ethnic, religious, immigrant, </w:t>
            </w:r>
            <w:proofErr w:type="gramStart"/>
            <w:r>
              <w:t>cultures</w:t>
            </w:r>
            <w:proofErr w:type="gramEnd"/>
            <w:r>
              <w:t xml:space="preserve"> and communities</w:t>
            </w:r>
          </w:p>
          <w:p w14:paraId="349FA321" w14:textId="77777777" w:rsidR="00B93BFB" w:rsidRDefault="00B93BFB" w:rsidP="00BE0576">
            <w:pPr>
              <w:pStyle w:val="ListParagraph"/>
              <w:numPr>
                <w:ilvl w:val="0"/>
                <w:numId w:val="11"/>
              </w:numPr>
            </w:pPr>
            <w:r>
              <w:t>Understanding of standards of wellbeing and human rights</w:t>
            </w:r>
          </w:p>
        </w:tc>
      </w:tr>
    </w:tbl>
    <w:p w14:paraId="5D7C1BCF" w14:textId="77777777" w:rsidR="00B93BFB" w:rsidRDefault="00B93BFB" w:rsidP="00B93BFB">
      <w:pPr>
        <w:pStyle w:val="ListParagraph"/>
        <w:spacing w:after="240"/>
        <w:ind w:left="1440"/>
      </w:pPr>
    </w:p>
    <w:p w14:paraId="7D43B6BA" w14:textId="77777777" w:rsidR="00B93BFB" w:rsidRPr="00177FB2" w:rsidRDefault="00B93BFB" w:rsidP="00B93BFB">
      <w:pPr>
        <w:pStyle w:val="ListParagraph"/>
        <w:numPr>
          <w:ilvl w:val="0"/>
          <w:numId w:val="32"/>
        </w:numPr>
        <w:spacing w:after="240"/>
        <w:rPr>
          <w:b/>
        </w:rPr>
      </w:pPr>
      <w:r w:rsidRPr="00177FB2">
        <w:rPr>
          <w:b/>
        </w:rPr>
        <w:t>Society &amp; Community; Media; Arts, Heritage &amp; Culture; Visitors, Tourists &amp; Tourism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93BFB" w14:paraId="64CA83D0" w14:textId="77777777" w:rsidTr="00BE0576">
        <w:tc>
          <w:tcPr>
            <w:tcW w:w="4508" w:type="dxa"/>
          </w:tcPr>
          <w:p w14:paraId="29C5F84E" w14:textId="77777777" w:rsidR="00B93BFB" w:rsidRDefault="00B93BFB" w:rsidP="00BE0576">
            <w:r>
              <w:t>POTENTIAL BENEFICIARIES INCLUDE</w:t>
            </w:r>
          </w:p>
          <w:p w14:paraId="2AD39032" w14:textId="77777777" w:rsidR="00B93BFB" w:rsidRDefault="00B93BFB" w:rsidP="00BE0576">
            <w:pPr>
              <w:pStyle w:val="ListParagraph"/>
              <w:numPr>
                <w:ilvl w:val="0"/>
                <w:numId w:val="13"/>
              </w:numPr>
            </w:pPr>
            <w:r>
              <w:t>Artists and practitioners</w:t>
            </w:r>
          </w:p>
          <w:p w14:paraId="114F8910" w14:textId="77777777" w:rsidR="00B93BFB" w:rsidRDefault="00B93BFB" w:rsidP="00BE0576">
            <w:pPr>
              <w:pStyle w:val="ListParagraph"/>
              <w:numPr>
                <w:ilvl w:val="0"/>
                <w:numId w:val="13"/>
              </w:numPr>
            </w:pPr>
            <w:r>
              <w:t>Arts, heritage, and culture</w:t>
            </w:r>
          </w:p>
          <w:p w14:paraId="3349D573" w14:textId="77777777" w:rsidR="00B93BFB" w:rsidRDefault="00B93BFB" w:rsidP="00BE0576">
            <w:pPr>
              <w:pStyle w:val="ListParagraph"/>
              <w:numPr>
                <w:ilvl w:val="0"/>
                <w:numId w:val="13"/>
              </w:numPr>
            </w:pPr>
            <w:r>
              <w:t>Heritage sites</w:t>
            </w:r>
          </w:p>
          <w:p w14:paraId="328E5DD1" w14:textId="77777777" w:rsidR="00B93BFB" w:rsidRDefault="00B93BFB" w:rsidP="00BE0576">
            <w:pPr>
              <w:pStyle w:val="ListParagraph"/>
              <w:numPr>
                <w:ilvl w:val="0"/>
                <w:numId w:val="13"/>
              </w:numPr>
            </w:pPr>
            <w:r>
              <w:t>Libraries and archives</w:t>
            </w:r>
          </w:p>
          <w:p w14:paraId="1AB1E7E1" w14:textId="77777777" w:rsidR="00B93BFB" w:rsidRDefault="00B93BFB" w:rsidP="00BE0576">
            <w:pPr>
              <w:pStyle w:val="ListParagraph"/>
              <w:numPr>
                <w:ilvl w:val="0"/>
                <w:numId w:val="13"/>
              </w:numPr>
            </w:pPr>
            <w:r>
              <w:lastRenderedPageBreak/>
              <w:t>Media professionals</w:t>
            </w:r>
          </w:p>
          <w:p w14:paraId="36196B1F" w14:textId="77777777" w:rsidR="00B93BFB" w:rsidRDefault="00B93BFB" w:rsidP="00BE0576">
            <w:pPr>
              <w:pStyle w:val="ListParagraph"/>
              <w:numPr>
                <w:ilvl w:val="0"/>
                <w:numId w:val="13"/>
              </w:numPr>
            </w:pPr>
            <w:r>
              <w:t>Museums</w:t>
            </w:r>
          </w:p>
          <w:p w14:paraId="082F4993" w14:textId="77777777" w:rsidR="00B93BFB" w:rsidRDefault="00B93BFB" w:rsidP="00BE0576">
            <w:pPr>
              <w:pStyle w:val="ListParagraph"/>
              <w:numPr>
                <w:ilvl w:val="0"/>
                <w:numId w:val="13"/>
              </w:numPr>
            </w:pPr>
            <w:r>
              <w:t>Performing arts</w:t>
            </w:r>
          </w:p>
          <w:p w14:paraId="1926408E" w14:textId="77777777" w:rsidR="00B93BFB" w:rsidRDefault="00B93BFB" w:rsidP="00BE0576">
            <w:pPr>
              <w:pStyle w:val="ListParagraph"/>
              <w:numPr>
                <w:ilvl w:val="0"/>
                <w:numId w:val="13"/>
              </w:numPr>
            </w:pPr>
            <w:r>
              <w:t>Religious organisations</w:t>
            </w:r>
          </w:p>
          <w:p w14:paraId="6B874B3E" w14:textId="77777777" w:rsidR="00B93BFB" w:rsidRDefault="00B93BFB" w:rsidP="00BE0576">
            <w:pPr>
              <w:pStyle w:val="ListParagraph"/>
              <w:numPr>
                <w:ilvl w:val="0"/>
                <w:numId w:val="13"/>
              </w:numPr>
            </w:pPr>
            <w:r>
              <w:t>Specific communities or groups</w:t>
            </w:r>
          </w:p>
          <w:p w14:paraId="405E8A8D" w14:textId="77777777" w:rsidR="00B93BFB" w:rsidRDefault="00B93BFB" w:rsidP="00BE0576">
            <w:pPr>
              <w:pStyle w:val="ListParagraph"/>
              <w:numPr>
                <w:ilvl w:val="0"/>
                <w:numId w:val="13"/>
              </w:numPr>
            </w:pPr>
            <w:r>
              <w:t>Visitors, tourists</w:t>
            </w:r>
          </w:p>
          <w:p w14:paraId="05F614F9" w14:textId="77777777" w:rsidR="00B93BFB" w:rsidRDefault="00B93BFB" w:rsidP="00BE0576">
            <w:pPr>
              <w:pStyle w:val="ListParagraph"/>
              <w:numPr>
                <w:ilvl w:val="0"/>
                <w:numId w:val="13"/>
              </w:numPr>
            </w:pPr>
            <w:r>
              <w:t>Wider public</w:t>
            </w:r>
          </w:p>
        </w:tc>
        <w:tc>
          <w:tcPr>
            <w:tcW w:w="4508" w:type="dxa"/>
          </w:tcPr>
          <w:p w14:paraId="4C8F4E73" w14:textId="77777777" w:rsidR="00B93BFB" w:rsidRDefault="00B93BFB" w:rsidP="00BE0576">
            <w:r>
              <w:lastRenderedPageBreak/>
              <w:t>IMPACTS ON</w:t>
            </w:r>
          </w:p>
          <w:p w14:paraId="30C1823F" w14:textId="77777777" w:rsidR="00B93BFB" w:rsidRDefault="00B93BFB" w:rsidP="00BE0576">
            <w:pPr>
              <w:pStyle w:val="ListParagraph"/>
              <w:numPr>
                <w:ilvl w:val="0"/>
                <w:numId w:val="14"/>
              </w:numPr>
            </w:pPr>
            <w:r>
              <w:t xml:space="preserve">Arts and heritage policy, </w:t>
            </w:r>
            <w:proofErr w:type="gramStart"/>
            <w:r>
              <w:t>governance</w:t>
            </w:r>
            <w:proofErr w:type="gramEnd"/>
            <w:r>
              <w:t xml:space="preserve"> and funding</w:t>
            </w:r>
          </w:p>
          <w:p w14:paraId="0AAE7704" w14:textId="77777777" w:rsidR="00B93BFB" w:rsidRDefault="00B93BFB" w:rsidP="00BE0576">
            <w:pPr>
              <w:pStyle w:val="ListParagraph"/>
              <w:numPr>
                <w:ilvl w:val="0"/>
                <w:numId w:val="14"/>
              </w:numPr>
            </w:pPr>
            <w:r>
              <w:t>Community cohesion or regeneration</w:t>
            </w:r>
          </w:p>
          <w:p w14:paraId="62189CE8" w14:textId="77777777" w:rsidR="00B93BFB" w:rsidRDefault="00B93BFB" w:rsidP="00BE0576">
            <w:pPr>
              <w:pStyle w:val="ListParagraph"/>
              <w:numPr>
                <w:ilvl w:val="0"/>
                <w:numId w:val="14"/>
              </w:numPr>
            </w:pPr>
            <w:r>
              <w:lastRenderedPageBreak/>
              <w:t>Creative practice and expression amongst practitioners</w:t>
            </w:r>
          </w:p>
          <w:p w14:paraId="654862EB" w14:textId="77777777" w:rsidR="00B93BFB" w:rsidRDefault="00B93BFB" w:rsidP="00BE0576">
            <w:pPr>
              <w:pStyle w:val="ListParagraph"/>
              <w:numPr>
                <w:ilvl w:val="0"/>
                <w:numId w:val="14"/>
              </w:numPr>
            </w:pPr>
            <w:r>
              <w:t xml:space="preserve">Cultural life of a community, </w:t>
            </w:r>
            <w:proofErr w:type="gramStart"/>
            <w:r>
              <w:t>region</w:t>
            </w:r>
            <w:proofErr w:type="gramEnd"/>
            <w:r>
              <w:t xml:space="preserve"> or nation</w:t>
            </w:r>
          </w:p>
          <w:p w14:paraId="2507CE21" w14:textId="77777777" w:rsidR="00B93BFB" w:rsidRDefault="00B93BFB" w:rsidP="00BE0576">
            <w:pPr>
              <w:pStyle w:val="ListParagraph"/>
              <w:numPr>
                <w:ilvl w:val="0"/>
                <w:numId w:val="14"/>
              </w:numPr>
            </w:pPr>
            <w:r>
              <w:t>Cultural understanding of issues and phenomena, shaping or informing public attitudes and values</w:t>
            </w:r>
          </w:p>
          <w:p w14:paraId="377B8C06" w14:textId="77777777" w:rsidR="00B93BFB" w:rsidRDefault="00B93BFB" w:rsidP="00BE0576">
            <w:pPr>
              <w:pStyle w:val="ListParagraph"/>
              <w:numPr>
                <w:ilvl w:val="0"/>
                <w:numId w:val="14"/>
              </w:numPr>
            </w:pPr>
            <w:r>
              <w:t>Public engagement with cultural heritage and / or the arts</w:t>
            </w:r>
          </w:p>
          <w:p w14:paraId="19B79953" w14:textId="77777777" w:rsidR="00B93BFB" w:rsidRDefault="00B93BFB" w:rsidP="00BE0576">
            <w:pPr>
              <w:pStyle w:val="ListParagraph"/>
              <w:numPr>
                <w:ilvl w:val="0"/>
                <w:numId w:val="14"/>
              </w:numPr>
            </w:pPr>
            <w:r>
              <w:t>Influencing media discourse relating to research</w:t>
            </w:r>
          </w:p>
          <w:p w14:paraId="3381C225" w14:textId="77777777" w:rsidR="00B93BFB" w:rsidRDefault="00B93BFB" w:rsidP="00BE0576">
            <w:pPr>
              <w:pStyle w:val="ListParagraph"/>
              <w:numPr>
                <w:ilvl w:val="0"/>
                <w:numId w:val="14"/>
              </w:numPr>
            </w:pPr>
            <w:r>
              <w:t>Outreach and engagement of marginalised or under</w:t>
            </w:r>
            <w:r w:rsidRPr="00AB4A5A">
              <w:rPr>
                <w:rFonts w:ascii="MS Gothic" w:hAnsi="MS Gothic" w:cs="MS Gothic"/>
              </w:rPr>
              <w:t>‑</w:t>
            </w:r>
            <w:r>
              <w:t>represented groups</w:t>
            </w:r>
          </w:p>
          <w:p w14:paraId="1401D9BD" w14:textId="77777777" w:rsidR="00B93BFB" w:rsidRDefault="00B93BFB" w:rsidP="00BE0576">
            <w:pPr>
              <w:pStyle w:val="ListParagraph"/>
              <w:numPr>
                <w:ilvl w:val="0"/>
                <w:numId w:val="14"/>
              </w:numPr>
            </w:pPr>
            <w:r>
              <w:t xml:space="preserve">Preservation, </w:t>
            </w:r>
            <w:proofErr w:type="gramStart"/>
            <w:r>
              <w:t>conservation</w:t>
            </w:r>
            <w:proofErr w:type="gramEnd"/>
            <w:r>
              <w:t xml:space="preserve"> and presentation of local, national, international cultural heritage</w:t>
            </w:r>
          </w:p>
          <w:p w14:paraId="260AE866" w14:textId="77777777" w:rsidR="00B93BFB" w:rsidRDefault="00B93BFB" w:rsidP="00BE0576">
            <w:pPr>
              <w:pStyle w:val="ListParagraph"/>
              <w:numPr>
                <w:ilvl w:val="0"/>
                <w:numId w:val="14"/>
              </w:numPr>
            </w:pPr>
            <w:r>
              <w:t xml:space="preserve">Processes of commemoration, </w:t>
            </w:r>
            <w:proofErr w:type="gramStart"/>
            <w:r>
              <w:t>memorialisation</w:t>
            </w:r>
            <w:proofErr w:type="gramEnd"/>
            <w:r>
              <w:t xml:space="preserve"> and reconciliation</w:t>
            </w:r>
          </w:p>
          <w:p w14:paraId="0B826880" w14:textId="77777777" w:rsidR="00B93BFB" w:rsidRDefault="00B93BFB" w:rsidP="00BE0576">
            <w:pPr>
              <w:pStyle w:val="ListParagraph"/>
              <w:numPr>
                <w:ilvl w:val="0"/>
                <w:numId w:val="14"/>
              </w:numPr>
            </w:pPr>
            <w:r>
              <w:t xml:space="preserve">Production of cultural artefacts </w:t>
            </w:r>
            <w:proofErr w:type="gramStart"/>
            <w:r>
              <w:t>e.g.</w:t>
            </w:r>
            <w:proofErr w:type="gramEnd"/>
            <w:r>
              <w:t xml:space="preserve"> films, novels, music, art</w:t>
            </w:r>
          </w:p>
          <w:p w14:paraId="24EFA901" w14:textId="77777777" w:rsidR="00B93BFB" w:rsidRDefault="00B93BFB" w:rsidP="00BE0576">
            <w:pPr>
              <w:pStyle w:val="ListParagraph"/>
              <w:numPr>
                <w:ilvl w:val="0"/>
                <w:numId w:val="14"/>
              </w:numPr>
            </w:pPr>
            <w:r>
              <w:t>Public awareness, attitudes or understanding</w:t>
            </w:r>
          </w:p>
          <w:p w14:paraId="19334F2D" w14:textId="77777777" w:rsidR="00B93BFB" w:rsidRDefault="00B93BFB" w:rsidP="00BE0576">
            <w:pPr>
              <w:pStyle w:val="ListParagraph"/>
              <w:numPr>
                <w:ilvl w:val="0"/>
                <w:numId w:val="14"/>
              </w:numPr>
            </w:pPr>
            <w:r>
              <w:t>Public discourse or debate</w:t>
            </w:r>
          </w:p>
          <w:p w14:paraId="60713395" w14:textId="77777777" w:rsidR="00B93BFB" w:rsidRDefault="00B93BFB" w:rsidP="00BE0576">
            <w:pPr>
              <w:pStyle w:val="ListParagraph"/>
              <w:numPr>
                <w:ilvl w:val="0"/>
                <w:numId w:val="14"/>
              </w:numPr>
            </w:pPr>
            <w:r>
              <w:t>Public engagement with research</w:t>
            </w:r>
          </w:p>
          <w:p w14:paraId="71D4CAD8" w14:textId="77777777" w:rsidR="00B93BFB" w:rsidRDefault="00B93BFB" w:rsidP="00BE0576">
            <w:pPr>
              <w:pStyle w:val="ListParagraph"/>
              <w:numPr>
                <w:ilvl w:val="0"/>
                <w:numId w:val="14"/>
              </w:numPr>
            </w:pPr>
            <w:r>
              <w:t>Quality of tourist or visitor experiences</w:t>
            </w:r>
          </w:p>
          <w:p w14:paraId="0B76BA02" w14:textId="77777777" w:rsidR="00B93BFB" w:rsidRDefault="00B93BFB" w:rsidP="00BE0576">
            <w:pPr>
              <w:pStyle w:val="ListParagraph"/>
              <w:numPr>
                <w:ilvl w:val="0"/>
                <w:numId w:val="14"/>
              </w:numPr>
            </w:pPr>
            <w:r>
              <w:t>The work of community organisations</w:t>
            </w:r>
          </w:p>
        </w:tc>
      </w:tr>
    </w:tbl>
    <w:p w14:paraId="482FBF65" w14:textId="77777777" w:rsidR="00B93BFB" w:rsidRDefault="00B93BFB" w:rsidP="00B93BFB">
      <w:pPr>
        <w:spacing w:after="240"/>
      </w:pPr>
    </w:p>
    <w:p w14:paraId="6ACE50B1" w14:textId="77777777" w:rsidR="00B93BFB" w:rsidRPr="00177FB2" w:rsidRDefault="00B93BFB" w:rsidP="00B93BFB">
      <w:pPr>
        <w:pStyle w:val="ListParagraph"/>
        <w:numPr>
          <w:ilvl w:val="0"/>
          <w:numId w:val="32"/>
        </w:numPr>
        <w:spacing w:after="240"/>
        <w:rPr>
          <w:b/>
        </w:rPr>
      </w:pPr>
      <w:r w:rsidRPr="00177FB2">
        <w:rPr>
          <w:b/>
        </w:rPr>
        <w:t>Economies, Commerce &amp; Organisations (Including Public Sector Organisations)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93BFB" w14:paraId="3B2EFCB0" w14:textId="77777777" w:rsidTr="00BE0576">
        <w:tc>
          <w:tcPr>
            <w:tcW w:w="4508" w:type="dxa"/>
          </w:tcPr>
          <w:p w14:paraId="07FA8FB0" w14:textId="77777777" w:rsidR="00B93BFB" w:rsidRDefault="00B93BFB" w:rsidP="00BE0576">
            <w:r>
              <w:t>POTENTIAL BENEFICIARIES INCLUDE</w:t>
            </w:r>
          </w:p>
          <w:p w14:paraId="3267104E" w14:textId="77777777" w:rsidR="00B93BFB" w:rsidRDefault="00B93BFB" w:rsidP="00BE0576">
            <w:pPr>
              <w:pStyle w:val="ListParagraph"/>
              <w:numPr>
                <w:ilvl w:val="0"/>
                <w:numId w:val="15"/>
              </w:numPr>
            </w:pPr>
            <w:r>
              <w:t>Commercial / industry organisations and their users or clients</w:t>
            </w:r>
          </w:p>
          <w:p w14:paraId="36E9511C" w14:textId="77777777" w:rsidR="00B93BFB" w:rsidRDefault="00B93BFB" w:rsidP="00BE0576">
            <w:pPr>
              <w:pStyle w:val="ListParagraph"/>
              <w:numPr>
                <w:ilvl w:val="0"/>
                <w:numId w:val="15"/>
              </w:numPr>
            </w:pPr>
            <w:r>
              <w:t>Economies (local, regional, national, international)</w:t>
            </w:r>
          </w:p>
          <w:p w14:paraId="2FD971AB" w14:textId="77777777" w:rsidR="00B93BFB" w:rsidRDefault="00B93BFB" w:rsidP="00BE0576">
            <w:pPr>
              <w:pStyle w:val="ListParagraph"/>
              <w:numPr>
                <w:ilvl w:val="0"/>
                <w:numId w:val="15"/>
              </w:numPr>
            </w:pPr>
            <w:r>
              <w:t>Professional practitioners (individuals or bodies)</w:t>
            </w:r>
          </w:p>
          <w:p w14:paraId="43EA8670" w14:textId="77777777" w:rsidR="00B93BFB" w:rsidRDefault="00B93BFB" w:rsidP="00BE0576">
            <w:pPr>
              <w:pStyle w:val="ListParagraph"/>
              <w:numPr>
                <w:ilvl w:val="0"/>
                <w:numId w:val="15"/>
              </w:numPr>
            </w:pPr>
            <w:r>
              <w:t>Public sector organisations and their users</w:t>
            </w:r>
          </w:p>
          <w:p w14:paraId="17343DF2" w14:textId="77777777" w:rsidR="00B93BFB" w:rsidRDefault="00B93BFB" w:rsidP="00BE0576">
            <w:pPr>
              <w:pStyle w:val="ListParagraph"/>
              <w:numPr>
                <w:ilvl w:val="0"/>
                <w:numId w:val="15"/>
              </w:numPr>
            </w:pPr>
            <w:r>
              <w:t>Regulators</w:t>
            </w:r>
          </w:p>
        </w:tc>
        <w:tc>
          <w:tcPr>
            <w:tcW w:w="4508" w:type="dxa"/>
          </w:tcPr>
          <w:p w14:paraId="4A393CCA" w14:textId="77777777" w:rsidR="00B93BFB" w:rsidRDefault="00B93BFB" w:rsidP="00BE0576">
            <w:r>
              <w:t>IMPACTS ON</w:t>
            </w:r>
          </w:p>
          <w:p w14:paraId="10DDDCFD" w14:textId="77777777" w:rsidR="00B93BFB" w:rsidRDefault="00B93BFB" w:rsidP="00BE0576">
            <w:pPr>
              <w:pStyle w:val="ListParagraph"/>
              <w:numPr>
                <w:ilvl w:val="0"/>
                <w:numId w:val="16"/>
              </w:numPr>
            </w:pPr>
            <w:r>
              <w:t>Access to finance</w:t>
            </w:r>
          </w:p>
          <w:p w14:paraId="2A7393F4" w14:textId="77777777" w:rsidR="00B93BFB" w:rsidRDefault="00B93BFB" w:rsidP="00BE0576">
            <w:pPr>
              <w:pStyle w:val="ListParagraph"/>
              <w:numPr>
                <w:ilvl w:val="0"/>
                <w:numId w:val="16"/>
              </w:numPr>
            </w:pPr>
            <w:r>
              <w:t>Access to public services</w:t>
            </w:r>
          </w:p>
          <w:p w14:paraId="2EFFBA67" w14:textId="77777777" w:rsidR="00B93BFB" w:rsidRDefault="00B93BFB" w:rsidP="00BE0576">
            <w:pPr>
              <w:pStyle w:val="ListParagraph"/>
              <w:numPr>
                <w:ilvl w:val="0"/>
                <w:numId w:val="16"/>
              </w:numPr>
            </w:pPr>
            <w:r>
              <w:t>Business or industry sectors</w:t>
            </w:r>
          </w:p>
          <w:p w14:paraId="239ED531" w14:textId="77777777" w:rsidR="00B93BFB" w:rsidRDefault="00B93BFB" w:rsidP="00BE0576">
            <w:pPr>
              <w:pStyle w:val="ListParagraph"/>
              <w:numPr>
                <w:ilvl w:val="0"/>
                <w:numId w:val="16"/>
              </w:numPr>
            </w:pPr>
            <w:r>
              <w:t>Commercialisation of research</w:t>
            </w:r>
          </w:p>
          <w:p w14:paraId="1F656F20" w14:textId="77777777" w:rsidR="00B93BFB" w:rsidRDefault="00B93BFB" w:rsidP="00BE0576">
            <w:pPr>
              <w:pStyle w:val="ListParagraph"/>
              <w:numPr>
                <w:ilvl w:val="0"/>
                <w:numId w:val="16"/>
              </w:numPr>
            </w:pPr>
            <w:r>
              <w:t>Corporate social responsibility</w:t>
            </w:r>
          </w:p>
          <w:p w14:paraId="1164EC8E" w14:textId="77777777" w:rsidR="00B93BFB" w:rsidRDefault="00B93BFB" w:rsidP="00BE0576">
            <w:pPr>
              <w:pStyle w:val="ListParagraph"/>
              <w:numPr>
                <w:ilvl w:val="0"/>
                <w:numId w:val="16"/>
              </w:numPr>
            </w:pPr>
            <w:r>
              <w:t>Development of new or modified standards or protocols</w:t>
            </w:r>
          </w:p>
          <w:p w14:paraId="67D3B377" w14:textId="77777777" w:rsidR="00B93BFB" w:rsidRDefault="00B93BFB" w:rsidP="00BE0576">
            <w:pPr>
              <w:pStyle w:val="ListParagraph"/>
              <w:numPr>
                <w:ilvl w:val="0"/>
                <w:numId w:val="16"/>
              </w:numPr>
            </w:pPr>
            <w:r>
              <w:t>Development of alternative economic models (</w:t>
            </w:r>
            <w:proofErr w:type="gramStart"/>
            <w:r>
              <w:t>e.g.</w:t>
            </w:r>
            <w:proofErr w:type="gramEnd"/>
            <w:r>
              <w:t xml:space="preserve"> fair trade)</w:t>
            </w:r>
          </w:p>
          <w:p w14:paraId="3F98B8B1" w14:textId="77777777" w:rsidR="00B93BFB" w:rsidRDefault="00B93BFB" w:rsidP="00BE0576">
            <w:pPr>
              <w:pStyle w:val="ListParagraph"/>
              <w:numPr>
                <w:ilvl w:val="0"/>
                <w:numId w:val="16"/>
              </w:numPr>
            </w:pPr>
            <w:r>
              <w:t xml:space="preserve">Development, trialling and delivery of new materials, </w:t>
            </w:r>
            <w:proofErr w:type="gramStart"/>
            <w:r>
              <w:t>products</w:t>
            </w:r>
            <w:proofErr w:type="gramEnd"/>
            <w:r>
              <w:t xml:space="preserve"> or technology</w:t>
            </w:r>
          </w:p>
          <w:p w14:paraId="60F23DAF" w14:textId="77777777" w:rsidR="00B93BFB" w:rsidRDefault="00B93BFB" w:rsidP="00BE0576">
            <w:pPr>
              <w:pStyle w:val="ListParagraph"/>
              <w:numPr>
                <w:ilvl w:val="0"/>
                <w:numId w:val="16"/>
              </w:numPr>
            </w:pPr>
            <w:r>
              <w:t xml:space="preserve">Development, trialling and delivery of new methodologies, </w:t>
            </w:r>
            <w:proofErr w:type="gramStart"/>
            <w:r>
              <w:t>frameworks</w:t>
            </w:r>
            <w:proofErr w:type="gramEnd"/>
            <w:r>
              <w:t xml:space="preserve"> or systems</w:t>
            </w:r>
          </w:p>
          <w:p w14:paraId="4835452E" w14:textId="77777777" w:rsidR="00B93BFB" w:rsidRDefault="00B93BFB" w:rsidP="00BE0576">
            <w:pPr>
              <w:pStyle w:val="ListParagraph"/>
              <w:numPr>
                <w:ilvl w:val="0"/>
                <w:numId w:val="16"/>
              </w:numPr>
            </w:pPr>
            <w:r>
              <w:t>Economic prosperity (any geographic level)</w:t>
            </w:r>
          </w:p>
          <w:p w14:paraId="3EABD10D" w14:textId="77777777" w:rsidR="00B93BFB" w:rsidRDefault="00B93BFB" w:rsidP="00BE0576">
            <w:pPr>
              <w:pStyle w:val="ListParagraph"/>
              <w:numPr>
                <w:ilvl w:val="0"/>
                <w:numId w:val="16"/>
              </w:numPr>
            </w:pPr>
            <w:r>
              <w:t>Enhanced organisational effectiveness and sustainability (any organisation)</w:t>
            </w:r>
          </w:p>
          <w:p w14:paraId="607FA34E" w14:textId="77777777" w:rsidR="00B93BFB" w:rsidRDefault="00B93BFB" w:rsidP="00BE0576">
            <w:pPr>
              <w:pStyle w:val="ListParagraph"/>
              <w:numPr>
                <w:ilvl w:val="0"/>
                <w:numId w:val="16"/>
              </w:numPr>
            </w:pPr>
            <w:r>
              <w:t>Improved or enhanced customer /client/ audience experience</w:t>
            </w:r>
          </w:p>
          <w:p w14:paraId="1BA8E166" w14:textId="77777777" w:rsidR="00B93BFB" w:rsidRDefault="00B93BFB" w:rsidP="00BE0576">
            <w:pPr>
              <w:pStyle w:val="ListParagraph"/>
              <w:numPr>
                <w:ilvl w:val="0"/>
                <w:numId w:val="16"/>
              </w:numPr>
            </w:pPr>
            <w:r>
              <w:lastRenderedPageBreak/>
              <w:t>Institution of new businesses or other organisations</w:t>
            </w:r>
          </w:p>
          <w:p w14:paraId="38DBB569" w14:textId="77777777" w:rsidR="00B93BFB" w:rsidRDefault="00B93BFB" w:rsidP="00BE0576">
            <w:pPr>
              <w:pStyle w:val="ListParagraph"/>
              <w:numPr>
                <w:ilvl w:val="0"/>
                <w:numId w:val="16"/>
              </w:numPr>
            </w:pPr>
            <w:r>
              <w:t>Inter</w:t>
            </w:r>
            <w:r w:rsidRPr="00AB4A5A">
              <w:rPr>
                <w:rFonts w:ascii="MS Gothic" w:hAnsi="MS Gothic" w:cs="MS Gothic"/>
              </w:rPr>
              <w:t>‑</w:t>
            </w:r>
            <w:r>
              <w:t xml:space="preserve">organisational understanding, </w:t>
            </w:r>
            <w:proofErr w:type="gramStart"/>
            <w:r>
              <w:t>cooperation</w:t>
            </w:r>
            <w:proofErr w:type="gramEnd"/>
            <w:r>
              <w:t xml:space="preserve"> or effectiveness</w:t>
            </w:r>
          </w:p>
          <w:p w14:paraId="5FCB4F30" w14:textId="77777777" w:rsidR="00B93BFB" w:rsidRDefault="00B93BFB" w:rsidP="00BE0576">
            <w:pPr>
              <w:pStyle w:val="ListParagraph"/>
              <w:numPr>
                <w:ilvl w:val="0"/>
                <w:numId w:val="16"/>
              </w:numPr>
            </w:pPr>
            <w:r>
              <w:t>Investment in research and development</w:t>
            </w:r>
          </w:p>
          <w:p w14:paraId="15A9E0AC" w14:textId="77777777" w:rsidR="00B93BFB" w:rsidRDefault="00B93BFB" w:rsidP="00BE0576">
            <w:pPr>
              <w:pStyle w:val="ListParagraph"/>
              <w:numPr>
                <w:ilvl w:val="0"/>
                <w:numId w:val="16"/>
              </w:numPr>
            </w:pPr>
            <w:r>
              <w:t>Jobs and employment</w:t>
            </w:r>
          </w:p>
          <w:p w14:paraId="311CE01B" w14:textId="77777777" w:rsidR="00B93BFB" w:rsidRDefault="00B93BFB" w:rsidP="00BE0576">
            <w:pPr>
              <w:pStyle w:val="ListParagraph"/>
              <w:numPr>
                <w:ilvl w:val="0"/>
                <w:numId w:val="16"/>
              </w:numPr>
            </w:pPr>
            <w:r>
              <w:t>Mitigation or reduction of potential harm</w:t>
            </w:r>
          </w:p>
          <w:p w14:paraId="3BCE396F" w14:textId="77777777" w:rsidR="00B93BFB" w:rsidRDefault="00B93BFB" w:rsidP="00BE0576">
            <w:pPr>
              <w:pStyle w:val="ListParagraph"/>
              <w:numPr>
                <w:ilvl w:val="0"/>
                <w:numId w:val="16"/>
              </w:numPr>
            </w:pPr>
            <w:r>
              <w:t>Performance or productivity (including reduction of costs/waste)</w:t>
            </w:r>
          </w:p>
          <w:p w14:paraId="717E380E" w14:textId="77777777" w:rsidR="00B93BFB" w:rsidRDefault="00B93BFB" w:rsidP="00BE0576">
            <w:pPr>
              <w:pStyle w:val="ListParagraph"/>
              <w:numPr>
                <w:ilvl w:val="0"/>
                <w:numId w:val="16"/>
              </w:numPr>
            </w:pPr>
            <w:r>
              <w:t>Quality of public services</w:t>
            </w:r>
          </w:p>
          <w:p w14:paraId="12395E09" w14:textId="77777777" w:rsidR="00B93BFB" w:rsidRDefault="00B93BFB" w:rsidP="00BE0576">
            <w:pPr>
              <w:pStyle w:val="ListParagraph"/>
              <w:numPr>
                <w:ilvl w:val="0"/>
                <w:numId w:val="16"/>
              </w:numPr>
            </w:pPr>
            <w:r>
              <w:t>Regeneration</w:t>
            </w:r>
          </w:p>
          <w:p w14:paraId="3DD936F1" w14:textId="77777777" w:rsidR="00B93BFB" w:rsidRDefault="00B93BFB" w:rsidP="00BE0576">
            <w:pPr>
              <w:pStyle w:val="ListParagraph"/>
              <w:numPr>
                <w:ilvl w:val="0"/>
                <w:numId w:val="16"/>
              </w:numPr>
            </w:pPr>
            <w:r>
              <w:t>Regulation or governance</w:t>
            </w:r>
          </w:p>
          <w:p w14:paraId="511D93D1" w14:textId="77777777" w:rsidR="00B93BFB" w:rsidRDefault="00B93BFB" w:rsidP="00BE0576">
            <w:pPr>
              <w:pStyle w:val="ListParagraph"/>
              <w:numPr>
                <w:ilvl w:val="0"/>
                <w:numId w:val="16"/>
              </w:numPr>
            </w:pPr>
            <w:r>
              <w:t>Strategy, operations or management practices within any business or organisations</w:t>
            </w:r>
          </w:p>
          <w:p w14:paraId="76BC91B6" w14:textId="77777777" w:rsidR="00B93BFB" w:rsidRDefault="00B93BFB" w:rsidP="00BE0576">
            <w:pPr>
              <w:pStyle w:val="ListParagraph"/>
              <w:numPr>
                <w:ilvl w:val="0"/>
                <w:numId w:val="16"/>
              </w:numPr>
            </w:pPr>
            <w:r>
              <w:t>Take</w:t>
            </w:r>
            <w:r w:rsidRPr="00AB4A5A">
              <w:rPr>
                <w:rFonts w:ascii="MS Gothic" w:hAnsi="MS Gothic" w:cs="MS Gothic"/>
              </w:rPr>
              <w:t>‑</w:t>
            </w:r>
            <w:r>
              <w:t>up or use of public services</w:t>
            </w:r>
          </w:p>
        </w:tc>
      </w:tr>
    </w:tbl>
    <w:p w14:paraId="14A0B24C" w14:textId="77777777" w:rsidR="00B93BFB" w:rsidRDefault="00B93BFB" w:rsidP="00B93BFB">
      <w:pPr>
        <w:tabs>
          <w:tab w:val="left" w:pos="1920"/>
        </w:tabs>
        <w:spacing w:after="240"/>
        <w:ind w:left="360"/>
      </w:pPr>
      <w:r>
        <w:lastRenderedPageBreak/>
        <w:tab/>
      </w:r>
    </w:p>
    <w:p w14:paraId="73E4D696" w14:textId="77777777" w:rsidR="00B93BFB" w:rsidRPr="00177FB2" w:rsidRDefault="00B93BFB" w:rsidP="00B93BFB">
      <w:pPr>
        <w:pStyle w:val="ListParagraph"/>
        <w:numPr>
          <w:ilvl w:val="0"/>
          <w:numId w:val="32"/>
        </w:numPr>
        <w:spacing w:after="240"/>
        <w:rPr>
          <w:b/>
        </w:rPr>
      </w:pPr>
      <w:r w:rsidRPr="00177FB2">
        <w:rPr>
          <w:b/>
        </w:rPr>
        <w:t>Human Health &amp; Wellbeing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93BFB" w14:paraId="2F43473D" w14:textId="77777777" w:rsidTr="00BE0576">
        <w:tc>
          <w:tcPr>
            <w:tcW w:w="4508" w:type="dxa"/>
          </w:tcPr>
          <w:p w14:paraId="2D09358D" w14:textId="77777777" w:rsidR="00B93BFB" w:rsidRDefault="00B93BFB" w:rsidP="00BE0576">
            <w:r>
              <w:t>POTENTIAL BENEFICIARIES INCLUDE</w:t>
            </w:r>
          </w:p>
          <w:p w14:paraId="55581BD7" w14:textId="77777777" w:rsidR="00B93BFB" w:rsidRDefault="00B93BFB" w:rsidP="00BE0576">
            <w:pPr>
              <w:pStyle w:val="ListParagraph"/>
              <w:numPr>
                <w:ilvl w:val="0"/>
                <w:numId w:val="17"/>
              </w:numPr>
            </w:pPr>
            <w:r>
              <w:t>Health or medical regulators</w:t>
            </w:r>
          </w:p>
          <w:p w14:paraId="3030FB19" w14:textId="77777777" w:rsidR="00B93BFB" w:rsidRDefault="00B93BFB" w:rsidP="00BE0576">
            <w:pPr>
              <w:pStyle w:val="ListParagraph"/>
              <w:numPr>
                <w:ilvl w:val="0"/>
                <w:numId w:val="17"/>
              </w:numPr>
            </w:pPr>
            <w:r>
              <w:t>NHS and its users</w:t>
            </w:r>
          </w:p>
          <w:p w14:paraId="621DA873" w14:textId="77777777" w:rsidR="00B93BFB" w:rsidRDefault="00B93BFB" w:rsidP="00BE0576">
            <w:pPr>
              <w:pStyle w:val="ListParagraph"/>
              <w:numPr>
                <w:ilvl w:val="0"/>
                <w:numId w:val="17"/>
              </w:numPr>
            </w:pPr>
            <w:r>
              <w:t>Other health systems or services and their users</w:t>
            </w:r>
          </w:p>
          <w:p w14:paraId="26D430BA" w14:textId="77777777" w:rsidR="00B93BFB" w:rsidRDefault="00B93BFB" w:rsidP="00BE0576">
            <w:pPr>
              <w:pStyle w:val="ListParagraph"/>
              <w:numPr>
                <w:ilvl w:val="0"/>
                <w:numId w:val="17"/>
              </w:numPr>
            </w:pPr>
            <w:r>
              <w:t>Patients and related groups</w:t>
            </w:r>
          </w:p>
        </w:tc>
        <w:tc>
          <w:tcPr>
            <w:tcW w:w="4508" w:type="dxa"/>
          </w:tcPr>
          <w:p w14:paraId="355E0718" w14:textId="77777777" w:rsidR="00B93BFB" w:rsidRDefault="00B93BFB" w:rsidP="00BE0576">
            <w:r>
              <w:t>IMPACTS ON</w:t>
            </w:r>
          </w:p>
          <w:p w14:paraId="7342EE0B" w14:textId="77777777" w:rsidR="00B93BFB" w:rsidRDefault="00B93BFB" w:rsidP="00BE0576">
            <w:pPr>
              <w:pStyle w:val="ListParagraph"/>
              <w:numPr>
                <w:ilvl w:val="0"/>
                <w:numId w:val="18"/>
              </w:numPr>
            </w:pPr>
            <w:r>
              <w:t>Access to or take</w:t>
            </w:r>
            <w:r w:rsidRPr="00AB4A5A">
              <w:rPr>
                <w:rFonts w:ascii="MS Gothic" w:hAnsi="MS Gothic" w:cs="MS Gothic"/>
              </w:rPr>
              <w:t>‑</w:t>
            </w:r>
            <w:r>
              <w:t>up of healthcare services or related resources</w:t>
            </w:r>
          </w:p>
          <w:p w14:paraId="69B32364" w14:textId="77777777" w:rsidR="00B93BFB" w:rsidRDefault="00B93BFB" w:rsidP="00BE0576">
            <w:pPr>
              <w:pStyle w:val="ListParagraph"/>
              <w:numPr>
                <w:ilvl w:val="0"/>
                <w:numId w:val="18"/>
              </w:numPr>
            </w:pPr>
            <w:r>
              <w:t>Control and understanding of diseases</w:t>
            </w:r>
          </w:p>
          <w:p w14:paraId="186195DD" w14:textId="77777777" w:rsidR="00B93BFB" w:rsidRDefault="00B93BFB" w:rsidP="00BE0576">
            <w:pPr>
              <w:pStyle w:val="ListParagraph"/>
              <w:numPr>
                <w:ilvl w:val="0"/>
                <w:numId w:val="18"/>
              </w:numPr>
            </w:pPr>
            <w:r>
              <w:t>Costs within a health system or service</w:t>
            </w:r>
          </w:p>
          <w:p w14:paraId="72BEED4A" w14:textId="77777777" w:rsidR="00B93BFB" w:rsidRDefault="00B93BFB" w:rsidP="00BE0576">
            <w:pPr>
              <w:pStyle w:val="ListParagraph"/>
              <w:numPr>
                <w:ilvl w:val="0"/>
                <w:numId w:val="18"/>
              </w:numPr>
            </w:pPr>
            <w:r>
              <w:t>Decisions by a health service or regulatory authority</w:t>
            </w:r>
          </w:p>
          <w:p w14:paraId="21A21DF4" w14:textId="77777777" w:rsidR="00B93BFB" w:rsidRDefault="00B93BFB" w:rsidP="00BE0576">
            <w:pPr>
              <w:pStyle w:val="ListParagraph"/>
              <w:numPr>
                <w:ilvl w:val="0"/>
                <w:numId w:val="18"/>
              </w:numPr>
            </w:pPr>
            <w:r>
              <w:t xml:space="preserve">Development, </w:t>
            </w:r>
            <w:proofErr w:type="gramStart"/>
            <w:r>
              <w:t>trialling</w:t>
            </w:r>
            <w:proofErr w:type="gramEnd"/>
            <w:r>
              <w:t xml:space="preserve"> or delivery of new or modified clinical or lifestyle intervention</w:t>
            </w:r>
          </w:p>
          <w:p w14:paraId="6363ED09" w14:textId="77777777" w:rsidR="00B93BFB" w:rsidRDefault="00B93BFB" w:rsidP="00BE0576">
            <w:pPr>
              <w:pStyle w:val="ListParagraph"/>
              <w:numPr>
                <w:ilvl w:val="0"/>
                <w:numId w:val="18"/>
              </w:numPr>
            </w:pPr>
            <w:r>
              <w:t xml:space="preserve">Development, </w:t>
            </w:r>
            <w:proofErr w:type="gramStart"/>
            <w:r>
              <w:t>trialling</w:t>
            </w:r>
            <w:proofErr w:type="gramEnd"/>
            <w:r>
              <w:t xml:space="preserve"> or delivery of new or modified diagnostic or clinical technology</w:t>
            </w:r>
          </w:p>
          <w:p w14:paraId="0B89527B" w14:textId="77777777" w:rsidR="00B93BFB" w:rsidRDefault="00B93BFB" w:rsidP="00BE0576">
            <w:pPr>
              <w:pStyle w:val="ListParagraph"/>
              <w:numPr>
                <w:ilvl w:val="0"/>
                <w:numId w:val="18"/>
              </w:numPr>
            </w:pPr>
            <w:r>
              <w:t xml:space="preserve">Development, </w:t>
            </w:r>
            <w:proofErr w:type="gramStart"/>
            <w:r>
              <w:t>trialling</w:t>
            </w:r>
            <w:proofErr w:type="gramEnd"/>
            <w:r>
              <w:t xml:space="preserve"> or delivery of new or modified drug</w:t>
            </w:r>
          </w:p>
          <w:p w14:paraId="2E2DF4DA" w14:textId="77777777" w:rsidR="00B93BFB" w:rsidRDefault="00B93BFB" w:rsidP="00BE0576">
            <w:pPr>
              <w:pStyle w:val="ListParagraph"/>
              <w:numPr>
                <w:ilvl w:val="0"/>
                <w:numId w:val="18"/>
              </w:numPr>
            </w:pPr>
            <w:r>
              <w:t xml:space="preserve">Development, trialling or delivery of new or modified guidelines (including for </w:t>
            </w:r>
            <w:proofErr w:type="gramStart"/>
            <w:r>
              <w:t>e.g.</w:t>
            </w:r>
            <w:proofErr w:type="gramEnd"/>
            <w:r>
              <w:t xml:space="preserve"> training and ethical standards)</w:t>
            </w:r>
          </w:p>
          <w:p w14:paraId="34172391" w14:textId="77777777" w:rsidR="00B93BFB" w:rsidRDefault="00B93BFB" w:rsidP="00BE0576">
            <w:pPr>
              <w:pStyle w:val="ListParagraph"/>
              <w:numPr>
                <w:ilvl w:val="0"/>
                <w:numId w:val="18"/>
              </w:numPr>
            </w:pPr>
            <w:r>
              <w:t>Experiences for patients or related groups</w:t>
            </w:r>
          </w:p>
          <w:p w14:paraId="76BC3961" w14:textId="77777777" w:rsidR="00B93BFB" w:rsidRDefault="00B93BFB" w:rsidP="00BE0576">
            <w:pPr>
              <w:pStyle w:val="ListParagraph"/>
              <w:numPr>
                <w:ilvl w:val="0"/>
                <w:numId w:val="18"/>
              </w:numPr>
            </w:pPr>
            <w:r>
              <w:t>Improvements in quality of life or lifestyle</w:t>
            </w:r>
          </w:p>
          <w:p w14:paraId="2DF237EC" w14:textId="77777777" w:rsidR="00B93BFB" w:rsidRDefault="00B93BFB" w:rsidP="00BE0576">
            <w:pPr>
              <w:pStyle w:val="ListParagraph"/>
              <w:numPr>
                <w:ilvl w:val="0"/>
                <w:numId w:val="18"/>
              </w:numPr>
            </w:pPr>
            <w:r>
              <w:t>Indicators of health and well</w:t>
            </w:r>
            <w:r w:rsidRPr="00AB4A5A">
              <w:rPr>
                <w:rFonts w:ascii="MS Gothic" w:hAnsi="MS Gothic" w:cs="MS Gothic"/>
              </w:rPr>
              <w:t>‑</w:t>
            </w:r>
            <w:r>
              <w:t>being</w:t>
            </w:r>
          </w:p>
          <w:p w14:paraId="405831F9" w14:textId="77777777" w:rsidR="00B93BFB" w:rsidRDefault="00B93BFB" w:rsidP="00BE0576">
            <w:pPr>
              <w:pStyle w:val="ListParagraph"/>
              <w:numPr>
                <w:ilvl w:val="0"/>
                <w:numId w:val="18"/>
              </w:numPr>
            </w:pPr>
            <w:r>
              <w:t>Outcomes for patients or related groups</w:t>
            </w:r>
          </w:p>
          <w:p w14:paraId="1282041D" w14:textId="77777777" w:rsidR="00B93BFB" w:rsidRDefault="00B93BFB" w:rsidP="00BE0576">
            <w:pPr>
              <w:pStyle w:val="ListParagraph"/>
              <w:numPr>
                <w:ilvl w:val="0"/>
                <w:numId w:val="18"/>
              </w:numPr>
            </w:pPr>
            <w:r>
              <w:t>Prevention of harm</w:t>
            </w:r>
          </w:p>
          <w:p w14:paraId="20E47A2B" w14:textId="77777777" w:rsidR="00B93BFB" w:rsidRDefault="00B93BFB" w:rsidP="00BE0576">
            <w:pPr>
              <w:pStyle w:val="ListParagraph"/>
              <w:numPr>
                <w:ilvl w:val="0"/>
                <w:numId w:val="18"/>
              </w:numPr>
            </w:pPr>
            <w:r>
              <w:t>Public awareness of a health risk or benefit</w:t>
            </w:r>
          </w:p>
          <w:p w14:paraId="782F8ED9" w14:textId="77777777" w:rsidR="00B93BFB" w:rsidRDefault="00B93BFB" w:rsidP="00BE0576">
            <w:pPr>
              <w:pStyle w:val="ListParagraph"/>
              <w:numPr>
                <w:ilvl w:val="0"/>
                <w:numId w:val="18"/>
              </w:numPr>
            </w:pPr>
            <w:r>
              <w:t>Public health and quality of life</w:t>
            </w:r>
          </w:p>
          <w:p w14:paraId="538802C2" w14:textId="77777777" w:rsidR="00B93BFB" w:rsidRDefault="00B93BFB" w:rsidP="00BE0576">
            <w:pPr>
              <w:pStyle w:val="ListParagraph"/>
              <w:numPr>
                <w:ilvl w:val="0"/>
                <w:numId w:val="18"/>
              </w:numPr>
            </w:pPr>
            <w:r>
              <w:lastRenderedPageBreak/>
              <w:t>Public understanding, attitudes or behaviour relating or health or wellbeing</w:t>
            </w:r>
          </w:p>
          <w:p w14:paraId="23DEA3EC" w14:textId="77777777" w:rsidR="00B93BFB" w:rsidRDefault="00B93BFB" w:rsidP="00BE0576">
            <w:pPr>
              <w:pStyle w:val="ListParagraph"/>
              <w:numPr>
                <w:ilvl w:val="0"/>
                <w:numId w:val="18"/>
              </w:numPr>
            </w:pPr>
            <w:r>
              <w:t>Specific costs of an intervention</w:t>
            </w:r>
          </w:p>
        </w:tc>
      </w:tr>
    </w:tbl>
    <w:p w14:paraId="4310B2F8" w14:textId="77777777" w:rsidR="00B93BFB" w:rsidRDefault="00B93BFB" w:rsidP="00B93BFB">
      <w:pPr>
        <w:spacing w:after="240"/>
      </w:pPr>
    </w:p>
    <w:p w14:paraId="72AEBCB1" w14:textId="77777777" w:rsidR="00B93BFB" w:rsidRPr="00177FB2" w:rsidRDefault="00B93BFB" w:rsidP="00B93BFB">
      <w:pPr>
        <w:pStyle w:val="ListParagraph"/>
        <w:numPr>
          <w:ilvl w:val="0"/>
          <w:numId w:val="32"/>
        </w:numPr>
        <w:spacing w:after="240"/>
        <w:rPr>
          <w:b/>
        </w:rPr>
      </w:pPr>
      <w:r w:rsidRPr="00177FB2">
        <w:rPr>
          <w:b/>
        </w:rPr>
        <w:t>Built &amp; Natural Environments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93BFB" w14:paraId="5B997BDA" w14:textId="77777777" w:rsidTr="00BE0576">
        <w:tc>
          <w:tcPr>
            <w:tcW w:w="4508" w:type="dxa"/>
          </w:tcPr>
          <w:p w14:paraId="3489C205" w14:textId="77777777" w:rsidR="00B93BFB" w:rsidRPr="00AB4A5A" w:rsidRDefault="00B93BFB" w:rsidP="00BE0576">
            <w:r w:rsidRPr="00AB4A5A">
              <w:t>POTENTIAL BENEFICIARIES INCLUDE</w:t>
            </w:r>
          </w:p>
          <w:p w14:paraId="23E50D10" w14:textId="77777777" w:rsidR="00B93BFB" w:rsidRPr="00AB4A5A" w:rsidRDefault="00B93BFB" w:rsidP="00BE0576">
            <w:pPr>
              <w:pStyle w:val="ListParagraph"/>
              <w:numPr>
                <w:ilvl w:val="0"/>
                <w:numId w:val="19"/>
              </w:numPr>
            </w:pPr>
            <w:r w:rsidRPr="00AB4A5A">
              <w:t>Construction and related industries</w:t>
            </w:r>
          </w:p>
          <w:p w14:paraId="2532F116" w14:textId="77777777" w:rsidR="00B93BFB" w:rsidRPr="00AB4A5A" w:rsidRDefault="00B93BFB" w:rsidP="00BE0576">
            <w:pPr>
              <w:pStyle w:val="ListParagraph"/>
              <w:numPr>
                <w:ilvl w:val="0"/>
                <w:numId w:val="19"/>
              </w:numPr>
            </w:pPr>
            <w:r w:rsidRPr="00AB4A5A">
              <w:t>Specific communities or groups</w:t>
            </w:r>
          </w:p>
          <w:p w14:paraId="2E579D67" w14:textId="77777777" w:rsidR="00B93BFB" w:rsidRPr="00AB4A5A" w:rsidRDefault="00B93BFB" w:rsidP="00BE0576">
            <w:pPr>
              <w:pStyle w:val="ListParagraph"/>
              <w:numPr>
                <w:ilvl w:val="0"/>
                <w:numId w:val="19"/>
              </w:numPr>
            </w:pPr>
            <w:r w:rsidRPr="00AB4A5A">
              <w:t>Conservationists and associated practitioners</w:t>
            </w:r>
          </w:p>
          <w:p w14:paraId="723E4C09" w14:textId="77777777" w:rsidR="00B93BFB" w:rsidRPr="00AB4A5A" w:rsidRDefault="00B93BFB" w:rsidP="00BE0576">
            <w:pPr>
              <w:pStyle w:val="ListParagraph"/>
              <w:numPr>
                <w:ilvl w:val="0"/>
                <w:numId w:val="19"/>
              </w:numPr>
            </w:pPr>
            <w:r w:rsidRPr="00AB4A5A">
              <w:t>Natural environments (including flora and fauna)</w:t>
            </w:r>
          </w:p>
          <w:p w14:paraId="5AF7EA62" w14:textId="77777777" w:rsidR="00B93BFB" w:rsidRPr="00AB4A5A" w:rsidRDefault="00B93BFB" w:rsidP="00BE0576">
            <w:pPr>
              <w:pStyle w:val="ListParagraph"/>
              <w:numPr>
                <w:ilvl w:val="0"/>
                <w:numId w:val="19"/>
              </w:numPr>
            </w:pPr>
            <w:r w:rsidRPr="00AB4A5A">
              <w:t>Specific communities or groups</w:t>
            </w:r>
          </w:p>
          <w:p w14:paraId="73E787D7" w14:textId="77777777" w:rsidR="00B93BFB" w:rsidRPr="00AB4A5A" w:rsidRDefault="00B93BFB" w:rsidP="00BE0576">
            <w:pPr>
              <w:pStyle w:val="ListParagraph"/>
              <w:numPr>
                <w:ilvl w:val="0"/>
                <w:numId w:val="19"/>
              </w:numPr>
            </w:pPr>
            <w:r w:rsidRPr="00AB4A5A">
              <w:t>Wider public</w:t>
            </w:r>
          </w:p>
        </w:tc>
        <w:tc>
          <w:tcPr>
            <w:tcW w:w="4508" w:type="dxa"/>
          </w:tcPr>
          <w:p w14:paraId="145345EF" w14:textId="77777777" w:rsidR="00B93BFB" w:rsidRPr="00AB4A5A" w:rsidRDefault="00B93BFB" w:rsidP="00BE0576">
            <w:r w:rsidRPr="00AB4A5A">
              <w:t>IMPACTS ON</w:t>
            </w:r>
          </w:p>
          <w:p w14:paraId="59AE9AFE" w14:textId="77777777" w:rsidR="00B93BFB" w:rsidRPr="00AB4A5A" w:rsidRDefault="00B93BFB" w:rsidP="00BE0576">
            <w:pPr>
              <w:pStyle w:val="ListParagraph"/>
              <w:numPr>
                <w:ilvl w:val="0"/>
                <w:numId w:val="20"/>
              </w:numPr>
            </w:pPr>
            <w:r w:rsidRPr="00AB4A5A">
              <w:t>Built environments (buildings, cities, public spaces etc.)</w:t>
            </w:r>
          </w:p>
          <w:p w14:paraId="1A7CF2D1" w14:textId="77777777" w:rsidR="00B93BFB" w:rsidRPr="00AB4A5A" w:rsidRDefault="00B93BFB" w:rsidP="00BE0576">
            <w:pPr>
              <w:pStyle w:val="ListParagraph"/>
              <w:numPr>
                <w:ilvl w:val="0"/>
                <w:numId w:val="20"/>
              </w:numPr>
            </w:pPr>
            <w:r w:rsidRPr="00AB4A5A">
              <w:t>Infrastructure</w:t>
            </w:r>
          </w:p>
          <w:p w14:paraId="467C0F05" w14:textId="77777777" w:rsidR="00B93BFB" w:rsidRPr="00AB4A5A" w:rsidRDefault="00B93BFB" w:rsidP="00BE0576">
            <w:pPr>
              <w:pStyle w:val="ListParagraph"/>
              <w:numPr>
                <w:ilvl w:val="0"/>
                <w:numId w:val="20"/>
              </w:numPr>
            </w:pPr>
            <w:r w:rsidRPr="00AB4A5A">
              <w:t>Planning</w:t>
            </w:r>
          </w:p>
          <w:p w14:paraId="20591D84" w14:textId="77777777" w:rsidR="00B93BFB" w:rsidRPr="00AB4A5A" w:rsidRDefault="00B93BFB" w:rsidP="00BE0576">
            <w:pPr>
              <w:pStyle w:val="ListParagraph"/>
              <w:numPr>
                <w:ilvl w:val="0"/>
                <w:numId w:val="20"/>
              </w:numPr>
            </w:pPr>
            <w:r w:rsidRPr="00AB4A5A">
              <w:t>Sustainability</w:t>
            </w:r>
          </w:p>
          <w:p w14:paraId="15CE1D9C" w14:textId="77777777" w:rsidR="00B93BFB" w:rsidRPr="00AB4A5A" w:rsidRDefault="00B93BFB" w:rsidP="00BE0576">
            <w:pPr>
              <w:pStyle w:val="ListParagraph"/>
              <w:numPr>
                <w:ilvl w:val="0"/>
                <w:numId w:val="20"/>
              </w:numPr>
            </w:pPr>
            <w:r w:rsidRPr="00AB4A5A">
              <w:t>Transport</w:t>
            </w:r>
          </w:p>
          <w:p w14:paraId="1F52962E" w14:textId="77777777" w:rsidR="00B93BFB" w:rsidRPr="00AB4A5A" w:rsidRDefault="00B93BFB" w:rsidP="00BE0576">
            <w:pPr>
              <w:pStyle w:val="ListParagraph"/>
              <w:numPr>
                <w:ilvl w:val="0"/>
                <w:numId w:val="20"/>
              </w:numPr>
            </w:pPr>
            <w:r w:rsidRPr="00AB4A5A">
              <w:t>Natural environments:</w:t>
            </w:r>
          </w:p>
          <w:p w14:paraId="3E583881" w14:textId="77777777" w:rsidR="00B93BFB" w:rsidRPr="00AB4A5A" w:rsidRDefault="00B93BFB" w:rsidP="00BE0576">
            <w:pPr>
              <w:pStyle w:val="ListParagraph"/>
              <w:numPr>
                <w:ilvl w:val="0"/>
                <w:numId w:val="20"/>
              </w:numPr>
            </w:pPr>
            <w:r w:rsidRPr="00AB4A5A">
              <w:t>Animal health and welfare</w:t>
            </w:r>
          </w:p>
          <w:p w14:paraId="597C85E0" w14:textId="77777777" w:rsidR="00B93BFB" w:rsidRPr="00AB4A5A" w:rsidRDefault="00B93BFB" w:rsidP="00BE0576">
            <w:pPr>
              <w:pStyle w:val="ListParagraph"/>
              <w:numPr>
                <w:ilvl w:val="0"/>
                <w:numId w:val="20"/>
              </w:numPr>
            </w:pPr>
            <w:r w:rsidRPr="00AB4A5A">
              <w:t>Biodiversity</w:t>
            </w:r>
          </w:p>
          <w:p w14:paraId="1928DA7D" w14:textId="77777777" w:rsidR="00B93BFB" w:rsidRPr="00AB4A5A" w:rsidRDefault="00B93BFB" w:rsidP="00BE0576">
            <w:pPr>
              <w:pStyle w:val="ListParagraph"/>
              <w:numPr>
                <w:ilvl w:val="0"/>
                <w:numId w:val="20"/>
              </w:numPr>
            </w:pPr>
            <w:r w:rsidRPr="00AB4A5A">
              <w:t>Conservation</w:t>
            </w:r>
          </w:p>
          <w:p w14:paraId="4F52A767" w14:textId="77777777" w:rsidR="00B93BFB" w:rsidRPr="00AB4A5A" w:rsidRDefault="00B93BFB" w:rsidP="00BE0576">
            <w:pPr>
              <w:pStyle w:val="ListParagraph"/>
              <w:numPr>
                <w:ilvl w:val="0"/>
                <w:numId w:val="20"/>
              </w:numPr>
            </w:pPr>
            <w:r w:rsidRPr="00AB4A5A">
              <w:t>Environmental policy</w:t>
            </w:r>
          </w:p>
          <w:p w14:paraId="30ED0AE3" w14:textId="77777777" w:rsidR="00B93BFB" w:rsidRPr="00AB4A5A" w:rsidRDefault="00B93BFB" w:rsidP="00BE0576">
            <w:pPr>
              <w:pStyle w:val="ListParagraph"/>
              <w:numPr>
                <w:ilvl w:val="0"/>
                <w:numId w:val="20"/>
              </w:numPr>
            </w:pPr>
            <w:r w:rsidRPr="00AB4A5A">
              <w:t>Environmental standards</w:t>
            </w:r>
          </w:p>
          <w:p w14:paraId="10C77298" w14:textId="77777777" w:rsidR="00B93BFB" w:rsidRPr="00AB4A5A" w:rsidRDefault="00B93BFB" w:rsidP="00BE0576">
            <w:pPr>
              <w:pStyle w:val="ListParagraph"/>
              <w:numPr>
                <w:ilvl w:val="0"/>
                <w:numId w:val="20"/>
              </w:numPr>
            </w:pPr>
            <w:r w:rsidRPr="00AB4A5A">
              <w:t>Mitigating or reducing risks posed by natural hazards</w:t>
            </w:r>
          </w:p>
          <w:p w14:paraId="4E83F9AD" w14:textId="77777777" w:rsidR="00B93BFB" w:rsidRPr="00AB4A5A" w:rsidRDefault="00B93BFB" w:rsidP="00BE0576">
            <w:pPr>
              <w:pStyle w:val="ListParagraph"/>
              <w:numPr>
                <w:ilvl w:val="0"/>
                <w:numId w:val="20"/>
              </w:numPr>
            </w:pPr>
            <w:r w:rsidRPr="00AB4A5A">
              <w:t xml:space="preserve">Natural resources including energy, </w:t>
            </w:r>
            <w:proofErr w:type="gramStart"/>
            <w:r w:rsidRPr="00AB4A5A">
              <w:t>water</w:t>
            </w:r>
            <w:proofErr w:type="gramEnd"/>
            <w:r w:rsidRPr="00AB4A5A">
              <w:t xml:space="preserve"> and food</w:t>
            </w:r>
          </w:p>
          <w:p w14:paraId="380E2E20" w14:textId="77777777" w:rsidR="00B93BFB" w:rsidRPr="00AB4A5A" w:rsidRDefault="00B93BFB" w:rsidP="00BE0576">
            <w:pPr>
              <w:pStyle w:val="ListParagraph"/>
              <w:numPr>
                <w:ilvl w:val="0"/>
                <w:numId w:val="20"/>
              </w:numPr>
            </w:pPr>
            <w:r w:rsidRPr="00AB4A5A">
              <w:t>Public awareness or behaviours relevant to the environment</w:t>
            </w:r>
          </w:p>
          <w:p w14:paraId="130C5805" w14:textId="77777777" w:rsidR="00B93BFB" w:rsidRPr="00AB4A5A" w:rsidRDefault="00B93BFB" w:rsidP="00BE0576">
            <w:pPr>
              <w:pStyle w:val="ListParagraph"/>
              <w:numPr>
                <w:ilvl w:val="0"/>
                <w:numId w:val="20"/>
              </w:numPr>
            </w:pPr>
            <w:r w:rsidRPr="00AB4A5A">
              <w:t>Understanding of environmental risks or hazards (including climate change and emissions)</w:t>
            </w:r>
          </w:p>
        </w:tc>
      </w:tr>
    </w:tbl>
    <w:p w14:paraId="2A313157" w14:textId="77777777" w:rsidR="00B93BFB" w:rsidRDefault="00B93BFB" w:rsidP="00B93BFB">
      <w:pPr>
        <w:tabs>
          <w:tab w:val="left" w:pos="2678"/>
        </w:tabs>
        <w:spacing w:after="240"/>
      </w:pPr>
      <w:r>
        <w:tab/>
      </w:r>
    </w:p>
    <w:p w14:paraId="3C3E9399" w14:textId="77777777" w:rsidR="00B93BFB" w:rsidRPr="00177FB2" w:rsidRDefault="00B93BFB" w:rsidP="00B93BFB">
      <w:pPr>
        <w:pStyle w:val="ListParagraph"/>
        <w:numPr>
          <w:ilvl w:val="0"/>
          <w:numId w:val="32"/>
        </w:numPr>
        <w:spacing w:after="240"/>
        <w:rPr>
          <w:b/>
        </w:rPr>
      </w:pPr>
      <w:r w:rsidRPr="00177FB2">
        <w:rPr>
          <w:b/>
        </w:rPr>
        <w:t>Education &amp; Training; Professional Practice;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93BFB" w14:paraId="63B44A60" w14:textId="77777777" w:rsidTr="00BE0576">
        <w:tc>
          <w:tcPr>
            <w:tcW w:w="4508" w:type="dxa"/>
          </w:tcPr>
          <w:p w14:paraId="47B128E0" w14:textId="77777777" w:rsidR="00B93BFB" w:rsidRDefault="00B93BFB" w:rsidP="00BE0576">
            <w:r>
              <w:t>POTENTIAL BENEFICIARIES INCLUDE</w:t>
            </w:r>
          </w:p>
          <w:p w14:paraId="727A0079" w14:textId="77777777" w:rsidR="00B93BFB" w:rsidRDefault="00B93BFB" w:rsidP="00BE0576">
            <w:pPr>
              <w:pStyle w:val="ListParagraph"/>
              <w:numPr>
                <w:ilvl w:val="0"/>
                <w:numId w:val="21"/>
              </w:numPr>
            </w:pPr>
            <w:r>
              <w:t>Academic disciplines</w:t>
            </w:r>
          </w:p>
          <w:p w14:paraId="4D711FC3" w14:textId="77777777" w:rsidR="00B93BFB" w:rsidRDefault="00B93BFB" w:rsidP="00BE0576">
            <w:pPr>
              <w:pStyle w:val="ListParagraph"/>
              <w:numPr>
                <w:ilvl w:val="0"/>
                <w:numId w:val="21"/>
              </w:numPr>
            </w:pPr>
            <w:r>
              <w:t>Non</w:t>
            </w:r>
            <w:r w:rsidRPr="00AB4A5A">
              <w:rPr>
                <w:rFonts w:ascii="MS Gothic" w:hAnsi="MS Gothic" w:cs="MS Gothic"/>
              </w:rPr>
              <w:t>‑</w:t>
            </w:r>
            <w:r>
              <w:t>UK Higher Education: research or teaching</w:t>
            </w:r>
          </w:p>
          <w:p w14:paraId="07DC54C9" w14:textId="77777777" w:rsidR="00B93BFB" w:rsidRDefault="00B93BFB" w:rsidP="00BE0576">
            <w:pPr>
              <w:pStyle w:val="ListParagraph"/>
              <w:numPr>
                <w:ilvl w:val="0"/>
                <w:numId w:val="21"/>
              </w:numPr>
            </w:pPr>
            <w:r>
              <w:t>UK Higher Education: teaching (beyond the University of Cambridge)</w:t>
            </w:r>
          </w:p>
          <w:p w14:paraId="2AAD4770" w14:textId="77777777" w:rsidR="00B93BFB" w:rsidRDefault="00B93BFB" w:rsidP="00BE0576">
            <w:pPr>
              <w:pStyle w:val="ListParagraph"/>
              <w:numPr>
                <w:ilvl w:val="0"/>
                <w:numId w:val="21"/>
              </w:numPr>
            </w:pPr>
            <w:r>
              <w:t>Schools</w:t>
            </w:r>
          </w:p>
          <w:p w14:paraId="549A51CD" w14:textId="77777777" w:rsidR="00B93BFB" w:rsidRDefault="00B93BFB" w:rsidP="00BE0576">
            <w:pPr>
              <w:pStyle w:val="ListParagraph"/>
              <w:numPr>
                <w:ilvl w:val="0"/>
                <w:numId w:val="21"/>
              </w:numPr>
            </w:pPr>
            <w:r>
              <w:t>Research beyond Higher Education</w:t>
            </w:r>
          </w:p>
          <w:p w14:paraId="3F411591" w14:textId="77777777" w:rsidR="00B93BFB" w:rsidRDefault="00B93BFB" w:rsidP="00BE0576">
            <w:pPr>
              <w:pStyle w:val="ListParagraph"/>
              <w:numPr>
                <w:ilvl w:val="0"/>
                <w:numId w:val="21"/>
              </w:numPr>
            </w:pPr>
            <w:r>
              <w:t>Vocational and continuing education</w:t>
            </w:r>
          </w:p>
          <w:p w14:paraId="3EE52B53" w14:textId="77777777" w:rsidR="00B93BFB" w:rsidRDefault="00B93BFB" w:rsidP="00BE0576">
            <w:pPr>
              <w:pStyle w:val="ListParagraph"/>
              <w:numPr>
                <w:ilvl w:val="0"/>
                <w:numId w:val="21"/>
              </w:numPr>
            </w:pPr>
            <w:r>
              <w:t>Professional or practitioner bodies</w:t>
            </w:r>
          </w:p>
          <w:p w14:paraId="78BBEC36" w14:textId="77777777" w:rsidR="00B93BFB" w:rsidRDefault="00B93BFB" w:rsidP="00BE0576">
            <w:pPr>
              <w:pStyle w:val="ListParagraph"/>
              <w:numPr>
                <w:ilvl w:val="0"/>
                <w:numId w:val="21"/>
              </w:numPr>
            </w:pPr>
            <w:r>
              <w:t>Professional or practitioner groups or individuals</w:t>
            </w:r>
          </w:p>
          <w:p w14:paraId="5C61C462" w14:textId="77777777" w:rsidR="00B93BFB" w:rsidRDefault="00B93BFB" w:rsidP="00BE0576"/>
        </w:tc>
        <w:tc>
          <w:tcPr>
            <w:tcW w:w="4508" w:type="dxa"/>
          </w:tcPr>
          <w:p w14:paraId="2DB7CBAE" w14:textId="77777777" w:rsidR="00B93BFB" w:rsidRDefault="00B93BFB" w:rsidP="00BE0576">
            <w:r>
              <w:t>IMPACTS ON</w:t>
            </w:r>
          </w:p>
          <w:p w14:paraId="7F0D9126" w14:textId="77777777" w:rsidR="00B93BFB" w:rsidRDefault="00B93BFB" w:rsidP="00BE0576">
            <w:pPr>
              <w:pStyle w:val="ListParagraph"/>
              <w:numPr>
                <w:ilvl w:val="0"/>
                <w:numId w:val="22"/>
              </w:numPr>
            </w:pPr>
            <w:r>
              <w:t>Academic performance</w:t>
            </w:r>
          </w:p>
          <w:p w14:paraId="46864ED3" w14:textId="77777777" w:rsidR="00B93BFB" w:rsidRDefault="00B93BFB" w:rsidP="00BE0576">
            <w:pPr>
              <w:pStyle w:val="ListParagraph"/>
              <w:numPr>
                <w:ilvl w:val="0"/>
                <w:numId w:val="22"/>
              </w:numPr>
            </w:pPr>
            <w:r>
              <w:t>Access to higher education</w:t>
            </w:r>
          </w:p>
          <w:p w14:paraId="298ABD69" w14:textId="77777777" w:rsidR="00B93BFB" w:rsidRDefault="00B93BFB" w:rsidP="00BE0576">
            <w:pPr>
              <w:pStyle w:val="ListParagraph"/>
              <w:numPr>
                <w:ilvl w:val="0"/>
                <w:numId w:val="22"/>
              </w:numPr>
            </w:pPr>
            <w:r>
              <w:t>Curricula and educational content</w:t>
            </w:r>
          </w:p>
          <w:p w14:paraId="4A9126EE" w14:textId="77777777" w:rsidR="00B93BFB" w:rsidRDefault="00B93BFB" w:rsidP="00BE0576">
            <w:pPr>
              <w:pStyle w:val="ListParagraph"/>
              <w:numPr>
                <w:ilvl w:val="0"/>
                <w:numId w:val="22"/>
              </w:numPr>
            </w:pPr>
            <w:r>
              <w:t>Delivery of highly skilled researchers</w:t>
            </w:r>
          </w:p>
          <w:p w14:paraId="3D8F64BC" w14:textId="77777777" w:rsidR="00B93BFB" w:rsidRDefault="00B93BFB" w:rsidP="00BE0576">
            <w:pPr>
              <w:pStyle w:val="ListParagraph"/>
              <w:numPr>
                <w:ilvl w:val="0"/>
                <w:numId w:val="22"/>
              </w:numPr>
            </w:pPr>
            <w:r>
              <w:t>Development and delivery of training resources</w:t>
            </w:r>
          </w:p>
          <w:p w14:paraId="411845D5" w14:textId="77777777" w:rsidR="00B93BFB" w:rsidRDefault="00B93BFB" w:rsidP="00BE0576">
            <w:pPr>
              <w:pStyle w:val="ListParagraph"/>
              <w:numPr>
                <w:ilvl w:val="0"/>
                <w:numId w:val="22"/>
              </w:numPr>
            </w:pPr>
            <w:r>
              <w:t xml:space="preserve">Development, </w:t>
            </w:r>
            <w:proofErr w:type="gramStart"/>
            <w:r>
              <w:t>content</w:t>
            </w:r>
            <w:proofErr w:type="gramEnd"/>
            <w:r>
              <w:t xml:space="preserve"> and delivery of CPD (or other) training</w:t>
            </w:r>
          </w:p>
          <w:p w14:paraId="5B3BC56F" w14:textId="77777777" w:rsidR="00B93BFB" w:rsidRDefault="00B93BFB" w:rsidP="00BE0576">
            <w:pPr>
              <w:pStyle w:val="ListParagraph"/>
              <w:numPr>
                <w:ilvl w:val="0"/>
                <w:numId w:val="22"/>
              </w:numPr>
            </w:pPr>
            <w:r>
              <w:t>Educational assessment</w:t>
            </w:r>
          </w:p>
          <w:p w14:paraId="1F1210FD" w14:textId="77777777" w:rsidR="00B93BFB" w:rsidRDefault="00B93BFB" w:rsidP="00BE0576">
            <w:pPr>
              <w:pStyle w:val="ListParagraph"/>
              <w:numPr>
                <w:ilvl w:val="0"/>
                <w:numId w:val="22"/>
              </w:numPr>
            </w:pPr>
            <w:r>
              <w:t>Educational practice</w:t>
            </w:r>
          </w:p>
          <w:p w14:paraId="13226F56" w14:textId="77777777" w:rsidR="00B93BFB" w:rsidRDefault="00B93BFB" w:rsidP="00BE0576">
            <w:pPr>
              <w:pStyle w:val="ListParagraph"/>
              <w:numPr>
                <w:ilvl w:val="0"/>
                <w:numId w:val="22"/>
              </w:numPr>
            </w:pPr>
            <w:r>
              <w:t>Enhancing the knowledge economy</w:t>
            </w:r>
          </w:p>
          <w:p w14:paraId="2B15FD47" w14:textId="77777777" w:rsidR="00B93BFB" w:rsidRDefault="00B93BFB" w:rsidP="00BE0576">
            <w:pPr>
              <w:pStyle w:val="ListParagraph"/>
              <w:numPr>
                <w:ilvl w:val="0"/>
                <w:numId w:val="22"/>
              </w:numPr>
            </w:pPr>
            <w:r>
              <w:t>Health and vitality of academic disciplines</w:t>
            </w:r>
          </w:p>
          <w:p w14:paraId="05A247C4" w14:textId="77777777" w:rsidR="00B93BFB" w:rsidRDefault="00B93BFB" w:rsidP="00BE0576">
            <w:pPr>
              <w:pStyle w:val="ListParagraph"/>
              <w:numPr>
                <w:ilvl w:val="0"/>
                <w:numId w:val="22"/>
              </w:numPr>
            </w:pPr>
            <w:r>
              <w:t>Professional practice (in any sector)</w:t>
            </w:r>
          </w:p>
          <w:p w14:paraId="3DA7DBCE" w14:textId="77777777" w:rsidR="00B93BFB" w:rsidRDefault="00B93BFB" w:rsidP="00BE0576">
            <w:pPr>
              <w:pStyle w:val="ListParagraph"/>
              <w:numPr>
                <w:ilvl w:val="0"/>
                <w:numId w:val="22"/>
              </w:numPr>
            </w:pPr>
            <w:r>
              <w:t>Professional standards (in any sector)</w:t>
            </w:r>
          </w:p>
          <w:p w14:paraId="6BA8511D" w14:textId="77777777" w:rsidR="00B93BFB" w:rsidRDefault="00B93BFB" w:rsidP="00BE0576">
            <w:pPr>
              <w:pStyle w:val="ListParagraph"/>
              <w:numPr>
                <w:ilvl w:val="0"/>
                <w:numId w:val="22"/>
              </w:numPr>
            </w:pPr>
            <w:r>
              <w:t>Professional understanding (in any sector)</w:t>
            </w:r>
          </w:p>
          <w:p w14:paraId="333CB93A" w14:textId="77777777" w:rsidR="00B93BFB" w:rsidRDefault="00B93BFB" w:rsidP="00BE0576">
            <w:pPr>
              <w:pStyle w:val="ListParagraph"/>
              <w:numPr>
                <w:ilvl w:val="0"/>
                <w:numId w:val="22"/>
              </w:numPr>
            </w:pPr>
            <w:r>
              <w:lastRenderedPageBreak/>
              <w:t>Public / community teaching and learning</w:t>
            </w:r>
          </w:p>
          <w:p w14:paraId="3B9AAAEE" w14:textId="77777777" w:rsidR="00B93BFB" w:rsidRDefault="00B93BFB" w:rsidP="00BE0576">
            <w:pPr>
              <w:pStyle w:val="ListParagraph"/>
              <w:numPr>
                <w:ilvl w:val="0"/>
                <w:numId w:val="22"/>
              </w:numPr>
            </w:pPr>
            <w:r>
              <w:t>Teaching and education beyond the University of Cambridge</w:t>
            </w:r>
          </w:p>
          <w:p w14:paraId="379C4387" w14:textId="77777777" w:rsidR="00B93BFB" w:rsidRDefault="00B93BFB" w:rsidP="00BE0576">
            <w:pPr>
              <w:pStyle w:val="ListParagraph"/>
              <w:numPr>
                <w:ilvl w:val="0"/>
                <w:numId w:val="22"/>
              </w:numPr>
            </w:pPr>
            <w:r>
              <w:t>Uptake of specialised subjects</w:t>
            </w:r>
          </w:p>
          <w:p w14:paraId="00D76E6F" w14:textId="77777777" w:rsidR="00B93BFB" w:rsidRDefault="00B93BFB" w:rsidP="00BE0576">
            <w:pPr>
              <w:pStyle w:val="ListParagraph"/>
              <w:numPr>
                <w:ilvl w:val="0"/>
                <w:numId w:val="22"/>
              </w:numPr>
            </w:pPr>
            <w:r>
              <w:t>Worldwide academic advancement</w:t>
            </w:r>
          </w:p>
        </w:tc>
      </w:tr>
    </w:tbl>
    <w:p w14:paraId="16962B9B" w14:textId="77777777" w:rsidR="00B93BFB" w:rsidRDefault="00B93BFB" w:rsidP="00B93BFB">
      <w:pPr>
        <w:spacing w:after="240"/>
      </w:pPr>
    </w:p>
    <w:p w14:paraId="1A139960" w14:textId="77777777" w:rsidR="009D0117" w:rsidRDefault="009D0117">
      <w:pPr>
        <w:rPr>
          <w:color w:val="0000FF" w:themeColor="hyperlink"/>
          <w:u w:val="single"/>
          <w:lang w:eastAsia="x-none"/>
        </w:rPr>
      </w:pPr>
      <w:r>
        <w:rPr>
          <w:color w:val="0000FF" w:themeColor="hyperlink"/>
          <w:u w:val="single"/>
          <w:lang w:eastAsia="x-none"/>
        </w:rPr>
        <w:br w:type="page"/>
      </w:r>
    </w:p>
    <w:p w14:paraId="7CEFB6F6" w14:textId="2A87653C" w:rsidR="009D0117" w:rsidRPr="009D0117" w:rsidRDefault="009D0117" w:rsidP="009D0117">
      <w:pPr>
        <w:spacing w:after="0"/>
        <w:rPr>
          <w:b/>
          <w:sz w:val="24"/>
          <w:szCs w:val="24"/>
        </w:rPr>
      </w:pPr>
      <w:r w:rsidRPr="009D0117">
        <w:rPr>
          <w:b/>
          <w:sz w:val="24"/>
          <w:szCs w:val="24"/>
        </w:rPr>
        <w:lastRenderedPageBreak/>
        <w:t>Annex B: Methods</w:t>
      </w:r>
      <w:r w:rsidR="00267082">
        <w:rPr>
          <w:b/>
          <w:sz w:val="24"/>
          <w:szCs w:val="24"/>
        </w:rPr>
        <w:t xml:space="preserve">, </w:t>
      </w:r>
      <w:r w:rsidRPr="009D0117">
        <w:rPr>
          <w:b/>
          <w:sz w:val="24"/>
          <w:szCs w:val="24"/>
        </w:rPr>
        <w:t>Activities</w:t>
      </w:r>
      <w:r w:rsidR="00267082">
        <w:rPr>
          <w:b/>
          <w:sz w:val="24"/>
          <w:szCs w:val="24"/>
        </w:rPr>
        <w:t>, and Outputs</w:t>
      </w:r>
    </w:p>
    <w:p w14:paraId="134AF953" w14:textId="77777777" w:rsidR="009D0117" w:rsidRDefault="009D0117" w:rsidP="009D0117">
      <w:pPr>
        <w:spacing w:after="0"/>
      </w:pPr>
    </w:p>
    <w:p w14:paraId="3E4BA5AB" w14:textId="77777777" w:rsidR="009D0117" w:rsidRDefault="009D0117" w:rsidP="009D0117">
      <w:pPr>
        <w:spacing w:after="0"/>
      </w:pPr>
      <w:r>
        <w:t>Engagement activities for non-academic partners and collaborators might include:</w:t>
      </w:r>
    </w:p>
    <w:p w14:paraId="771F53A8" w14:textId="77777777" w:rsidR="009D0117" w:rsidRDefault="009D0117" w:rsidP="009D0117">
      <w:pPr>
        <w:pStyle w:val="ListParagraph"/>
        <w:numPr>
          <w:ilvl w:val="0"/>
          <w:numId w:val="10"/>
        </w:numPr>
        <w:spacing w:after="0"/>
      </w:pPr>
      <w:r>
        <w:t>Collaborative organisation of event(s)</w:t>
      </w:r>
    </w:p>
    <w:p w14:paraId="07D93943" w14:textId="77777777" w:rsidR="009D0117" w:rsidRDefault="009D0117" w:rsidP="009D0117">
      <w:pPr>
        <w:pStyle w:val="ListParagraph"/>
        <w:numPr>
          <w:ilvl w:val="0"/>
          <w:numId w:val="10"/>
        </w:numPr>
        <w:spacing w:after="0"/>
      </w:pPr>
      <w:r>
        <w:t>Contribution to exhibition(s)</w:t>
      </w:r>
    </w:p>
    <w:p w14:paraId="3376821A" w14:textId="77777777" w:rsidR="009D0117" w:rsidRDefault="009D0117" w:rsidP="009D0117">
      <w:pPr>
        <w:pStyle w:val="ListParagraph"/>
        <w:numPr>
          <w:ilvl w:val="0"/>
          <w:numId w:val="10"/>
        </w:numPr>
        <w:spacing w:after="0"/>
      </w:pPr>
      <w:r>
        <w:t>Editorial role for non</w:t>
      </w:r>
      <w:r w:rsidRPr="00B63677">
        <w:rPr>
          <w:rFonts w:ascii="MS Gothic" w:hAnsi="MS Gothic" w:cs="MS Gothic"/>
        </w:rPr>
        <w:t>‑</w:t>
      </w:r>
      <w:r>
        <w:t>academic publications</w:t>
      </w:r>
    </w:p>
    <w:p w14:paraId="6469F337" w14:textId="5812BE67" w:rsidR="009D0117" w:rsidRDefault="009D0117" w:rsidP="009D0117">
      <w:pPr>
        <w:pStyle w:val="ListParagraph"/>
        <w:numPr>
          <w:ilvl w:val="0"/>
          <w:numId w:val="10"/>
        </w:numPr>
        <w:spacing w:after="0"/>
      </w:pPr>
      <w:r>
        <w:t xml:space="preserve">Participation in a research collaboration, </w:t>
      </w:r>
      <w:r w:rsidR="003457F2">
        <w:t>network,</w:t>
      </w:r>
      <w:r>
        <w:t xml:space="preserve"> or consortium</w:t>
      </w:r>
    </w:p>
    <w:p w14:paraId="4FA461AB" w14:textId="16512A4F" w:rsidR="009D0117" w:rsidRPr="003D642A" w:rsidRDefault="009D0117" w:rsidP="009D0117">
      <w:pPr>
        <w:pStyle w:val="ListParagraph"/>
        <w:numPr>
          <w:ilvl w:val="0"/>
          <w:numId w:val="10"/>
        </w:numPr>
        <w:spacing w:after="0"/>
      </w:pPr>
      <w:r w:rsidRPr="003D642A">
        <w:t xml:space="preserve">Secondments, </w:t>
      </w:r>
      <w:r w:rsidR="003457F2" w:rsidRPr="003D642A">
        <w:t>placements,</w:t>
      </w:r>
      <w:r w:rsidRPr="003D642A">
        <w:t xml:space="preserve"> and visits into or out of the University of Cambridge </w:t>
      </w:r>
    </w:p>
    <w:p w14:paraId="7043AB0B" w14:textId="77777777" w:rsidR="009D0117" w:rsidRDefault="009D0117" w:rsidP="009D0117">
      <w:pPr>
        <w:spacing w:after="0"/>
      </w:pPr>
    </w:p>
    <w:p w14:paraId="6F05C199" w14:textId="77777777" w:rsidR="009D0117" w:rsidRDefault="009D0117" w:rsidP="009D0117">
      <w:pPr>
        <w:spacing w:after="0"/>
      </w:pPr>
      <w:r>
        <w:t>Engagement activities for broader public audiences might include:</w:t>
      </w:r>
    </w:p>
    <w:p w14:paraId="4AE10D7B" w14:textId="77777777" w:rsidR="009D0117" w:rsidRDefault="009D0117" w:rsidP="009D0117">
      <w:pPr>
        <w:pStyle w:val="ListParagraph"/>
        <w:numPr>
          <w:ilvl w:val="0"/>
          <w:numId w:val="10"/>
        </w:numPr>
        <w:spacing w:after="0"/>
      </w:pPr>
      <w:r>
        <w:t>Creation of a research community – helps engage (non</w:t>
      </w:r>
      <w:r w:rsidRPr="00B63677">
        <w:rPr>
          <w:rFonts w:ascii="MS Gothic" w:hAnsi="MS Gothic" w:cs="MS Gothic"/>
        </w:rPr>
        <w:t>‑</w:t>
      </w:r>
      <w:r>
        <w:t>academic) participants with research</w:t>
      </w:r>
    </w:p>
    <w:p w14:paraId="36CF0E1D" w14:textId="77777777" w:rsidR="009D0117" w:rsidRDefault="009D0117" w:rsidP="009D0117">
      <w:pPr>
        <w:pStyle w:val="ListParagraph"/>
        <w:numPr>
          <w:ilvl w:val="0"/>
          <w:numId w:val="10"/>
        </w:numPr>
        <w:spacing w:after="0"/>
      </w:pPr>
      <w:r>
        <w:t>Involvement or employment of local people in research projects</w:t>
      </w:r>
    </w:p>
    <w:p w14:paraId="405D2DA0" w14:textId="77777777" w:rsidR="009D0117" w:rsidRDefault="009D0117" w:rsidP="009D0117">
      <w:pPr>
        <w:pStyle w:val="ListParagraph"/>
        <w:numPr>
          <w:ilvl w:val="0"/>
          <w:numId w:val="10"/>
        </w:numPr>
        <w:spacing w:after="0"/>
      </w:pPr>
      <w:r>
        <w:t>Joint academia</w:t>
      </w:r>
      <w:r w:rsidRPr="00B63677">
        <w:rPr>
          <w:rFonts w:ascii="MS Gothic" w:hAnsi="MS Gothic" w:cs="MS Gothic"/>
        </w:rPr>
        <w:t>‑</w:t>
      </w:r>
      <w:r>
        <w:t>industry appointments</w:t>
      </w:r>
    </w:p>
    <w:p w14:paraId="51AC2AB7" w14:textId="77777777" w:rsidR="009D0117" w:rsidRDefault="009D0117" w:rsidP="009D0117">
      <w:pPr>
        <w:pStyle w:val="ListParagraph"/>
        <w:numPr>
          <w:ilvl w:val="0"/>
          <w:numId w:val="10"/>
        </w:numPr>
        <w:spacing w:after="0"/>
      </w:pPr>
      <w:r>
        <w:t>Joint publications with non</w:t>
      </w:r>
      <w:r w:rsidRPr="00B63677">
        <w:rPr>
          <w:rFonts w:ascii="MS Gothic" w:hAnsi="MS Gothic" w:cs="MS Gothic"/>
        </w:rPr>
        <w:t>‑</w:t>
      </w:r>
      <w:r>
        <w:t>academic partners</w:t>
      </w:r>
    </w:p>
    <w:p w14:paraId="54EF9548" w14:textId="55EF75FC" w:rsidR="009D0117" w:rsidRDefault="009D0117" w:rsidP="009D0117">
      <w:pPr>
        <w:pStyle w:val="ListParagraph"/>
        <w:numPr>
          <w:ilvl w:val="0"/>
          <w:numId w:val="10"/>
        </w:numPr>
        <w:spacing w:after="0"/>
      </w:pPr>
      <w:r>
        <w:t>Non</w:t>
      </w:r>
      <w:r w:rsidRPr="00B63677">
        <w:rPr>
          <w:rFonts w:ascii="MS Gothic" w:hAnsi="MS Gothic" w:cs="MS Gothic"/>
        </w:rPr>
        <w:t>‑</w:t>
      </w:r>
      <w:r>
        <w:t>academic input to research (</w:t>
      </w:r>
      <w:r w:rsidR="003457F2">
        <w:t>e.g.,</w:t>
      </w:r>
      <w:r>
        <w:t xml:space="preserve"> by steering group or external evaluators)</w:t>
      </w:r>
    </w:p>
    <w:p w14:paraId="063ECD17" w14:textId="77777777" w:rsidR="009D0117" w:rsidRDefault="009D0117" w:rsidP="009D0117">
      <w:pPr>
        <w:pStyle w:val="ListParagraph"/>
        <w:numPr>
          <w:ilvl w:val="0"/>
          <w:numId w:val="10"/>
        </w:numPr>
        <w:spacing w:after="0"/>
      </w:pPr>
      <w:r>
        <w:t>Publication in practitioner journals</w:t>
      </w:r>
    </w:p>
    <w:p w14:paraId="324EAE58" w14:textId="77777777" w:rsidR="009D0117" w:rsidRDefault="009D0117" w:rsidP="009D0117">
      <w:pPr>
        <w:spacing w:after="0"/>
      </w:pPr>
    </w:p>
    <w:p w14:paraId="0F832849" w14:textId="77777777" w:rsidR="009D0117" w:rsidRDefault="009D0117" w:rsidP="009D0117">
      <w:pPr>
        <w:spacing w:after="0"/>
      </w:pPr>
      <w:r>
        <w:t>Engagement activities for specialist audiences might include:</w:t>
      </w:r>
    </w:p>
    <w:p w14:paraId="35AD227B" w14:textId="77777777" w:rsidR="009D0117" w:rsidRDefault="009D0117" w:rsidP="009D0117">
      <w:pPr>
        <w:pStyle w:val="ListParagraph"/>
        <w:numPr>
          <w:ilvl w:val="0"/>
          <w:numId w:val="10"/>
        </w:numPr>
        <w:spacing w:after="0"/>
      </w:pPr>
      <w:r>
        <w:t>Commissioned research</w:t>
      </w:r>
    </w:p>
    <w:p w14:paraId="4E1097BB" w14:textId="77777777" w:rsidR="009D0117" w:rsidRDefault="009D0117" w:rsidP="009D0117">
      <w:pPr>
        <w:pStyle w:val="ListParagraph"/>
        <w:numPr>
          <w:ilvl w:val="0"/>
          <w:numId w:val="10"/>
        </w:numPr>
        <w:spacing w:after="0"/>
      </w:pPr>
      <w:r>
        <w:t>Consultancy (paid or unpaid)</w:t>
      </w:r>
    </w:p>
    <w:p w14:paraId="6D99D2F9" w14:textId="77777777" w:rsidR="009D0117" w:rsidRDefault="009D0117" w:rsidP="009D0117">
      <w:pPr>
        <w:pStyle w:val="ListParagraph"/>
        <w:numPr>
          <w:ilvl w:val="0"/>
          <w:numId w:val="10"/>
        </w:numPr>
        <w:spacing w:after="0"/>
      </w:pPr>
      <w:r>
        <w:t>Demonstration of prototype or new material(s)</w:t>
      </w:r>
    </w:p>
    <w:p w14:paraId="413F85D4" w14:textId="77777777" w:rsidR="009D0117" w:rsidRDefault="009D0117" w:rsidP="009D0117">
      <w:pPr>
        <w:pStyle w:val="ListParagraph"/>
        <w:numPr>
          <w:ilvl w:val="0"/>
          <w:numId w:val="10"/>
        </w:numPr>
        <w:spacing w:after="0"/>
      </w:pPr>
      <w:r>
        <w:t>Formal or informal networking and discussion</w:t>
      </w:r>
    </w:p>
    <w:p w14:paraId="3CFDFB18" w14:textId="77777777" w:rsidR="009D0117" w:rsidRDefault="009D0117" w:rsidP="009D0117">
      <w:pPr>
        <w:pStyle w:val="ListParagraph"/>
        <w:numPr>
          <w:ilvl w:val="0"/>
          <w:numId w:val="10"/>
        </w:numPr>
        <w:spacing w:after="0"/>
      </w:pPr>
      <w:r>
        <w:t>Membership of expert group(s)</w:t>
      </w:r>
    </w:p>
    <w:p w14:paraId="7696A2D4" w14:textId="77777777" w:rsidR="009D0117" w:rsidRDefault="009D0117" w:rsidP="009D0117">
      <w:pPr>
        <w:pStyle w:val="ListParagraph"/>
        <w:numPr>
          <w:ilvl w:val="0"/>
          <w:numId w:val="10"/>
        </w:numPr>
        <w:spacing w:after="0"/>
      </w:pPr>
      <w:r>
        <w:t>Production of policy papers, guidance</w:t>
      </w:r>
    </w:p>
    <w:p w14:paraId="0BF19A6D" w14:textId="77777777" w:rsidR="009D0117" w:rsidRDefault="009D0117" w:rsidP="009D0117">
      <w:pPr>
        <w:pStyle w:val="ListParagraph"/>
        <w:numPr>
          <w:ilvl w:val="0"/>
          <w:numId w:val="10"/>
        </w:numPr>
        <w:spacing w:after="0"/>
      </w:pPr>
      <w:r>
        <w:t>Production of reports</w:t>
      </w:r>
    </w:p>
    <w:p w14:paraId="4EBE015E" w14:textId="77777777" w:rsidR="009D0117" w:rsidRDefault="009D0117" w:rsidP="009D0117">
      <w:pPr>
        <w:pStyle w:val="ListParagraph"/>
        <w:numPr>
          <w:ilvl w:val="0"/>
          <w:numId w:val="10"/>
        </w:numPr>
        <w:spacing w:after="0"/>
      </w:pPr>
      <w:r>
        <w:t xml:space="preserve">Talks, </w:t>
      </w:r>
      <w:proofErr w:type="gramStart"/>
      <w:r>
        <w:t>workshops</w:t>
      </w:r>
      <w:proofErr w:type="gramEnd"/>
      <w:r>
        <w:t xml:space="preserve"> and other events for specialist audiences</w:t>
      </w:r>
    </w:p>
    <w:p w14:paraId="6A474EB5" w14:textId="77777777" w:rsidR="009D0117" w:rsidRDefault="009D0117" w:rsidP="009D0117">
      <w:pPr>
        <w:pStyle w:val="ListParagraph"/>
        <w:numPr>
          <w:ilvl w:val="0"/>
          <w:numId w:val="10"/>
        </w:numPr>
        <w:spacing w:after="0"/>
      </w:pPr>
      <w:r>
        <w:t xml:space="preserve">Transfer of skilled people (including </w:t>
      </w:r>
      <w:proofErr w:type="gramStart"/>
      <w:r>
        <w:t>e.g.</w:t>
      </w:r>
      <w:proofErr w:type="gramEnd"/>
      <w:r>
        <w:t xml:space="preserve"> student placements in external organisations)</w:t>
      </w:r>
    </w:p>
    <w:p w14:paraId="4CA3749B" w14:textId="77777777" w:rsidR="009D0117" w:rsidRDefault="009D0117" w:rsidP="009D0117">
      <w:pPr>
        <w:pStyle w:val="ListParagraph"/>
        <w:numPr>
          <w:ilvl w:val="0"/>
          <w:numId w:val="10"/>
        </w:numPr>
        <w:spacing w:after="0"/>
      </w:pPr>
      <w:r>
        <w:t>Production of mediated and/or bespoke outputs</w:t>
      </w:r>
    </w:p>
    <w:p w14:paraId="35BD4C01" w14:textId="77777777" w:rsidR="009D0117" w:rsidRDefault="009D0117" w:rsidP="009D0117">
      <w:pPr>
        <w:spacing w:after="0"/>
      </w:pPr>
    </w:p>
    <w:p w14:paraId="3A199935" w14:textId="77777777" w:rsidR="009D0117" w:rsidRDefault="009D0117" w:rsidP="009D0117">
      <w:pPr>
        <w:spacing w:after="0"/>
      </w:pPr>
      <w:r>
        <w:t>Activities to change attitude, awareness, or understanding might include:</w:t>
      </w:r>
    </w:p>
    <w:p w14:paraId="03174DBD" w14:textId="77777777" w:rsidR="009D0117" w:rsidRDefault="009D0117" w:rsidP="009D0117">
      <w:pPr>
        <w:pStyle w:val="ListParagraph"/>
        <w:numPr>
          <w:ilvl w:val="0"/>
          <w:numId w:val="10"/>
        </w:numPr>
        <w:spacing w:after="0"/>
      </w:pPr>
      <w:r>
        <w:t>Collaborative, participatory or action research methodology which engages subjects / participants with research and its findings; may offer immediate access to benefits as result</w:t>
      </w:r>
    </w:p>
    <w:p w14:paraId="300E0A14" w14:textId="77777777" w:rsidR="009D0117" w:rsidRDefault="009D0117" w:rsidP="009D0117">
      <w:pPr>
        <w:pStyle w:val="ListParagraph"/>
        <w:numPr>
          <w:ilvl w:val="0"/>
          <w:numId w:val="10"/>
        </w:numPr>
        <w:spacing w:after="0"/>
      </w:pPr>
      <w:r>
        <w:t>Mentoring</w:t>
      </w:r>
    </w:p>
    <w:p w14:paraId="25A56082" w14:textId="77777777" w:rsidR="009D0117" w:rsidRDefault="009D0117" w:rsidP="009D0117">
      <w:pPr>
        <w:pStyle w:val="ListParagraph"/>
        <w:numPr>
          <w:ilvl w:val="0"/>
          <w:numId w:val="10"/>
        </w:numPr>
        <w:spacing w:after="0"/>
      </w:pPr>
      <w:r>
        <w:t>Outreach / widening participation activity</w:t>
      </w:r>
    </w:p>
    <w:p w14:paraId="54743165" w14:textId="77777777" w:rsidR="009D0117" w:rsidRDefault="009D0117" w:rsidP="009D0117">
      <w:pPr>
        <w:pStyle w:val="ListParagraph"/>
        <w:numPr>
          <w:ilvl w:val="0"/>
          <w:numId w:val="10"/>
        </w:numPr>
        <w:spacing w:after="0"/>
      </w:pPr>
      <w:r>
        <w:t>Provision of CPD or other training</w:t>
      </w:r>
    </w:p>
    <w:p w14:paraId="0897C530" w14:textId="772F031C" w:rsidR="009D0117" w:rsidRDefault="009D0117" w:rsidP="009D0117">
      <w:pPr>
        <w:pStyle w:val="ListParagraph"/>
        <w:numPr>
          <w:ilvl w:val="0"/>
          <w:numId w:val="10"/>
        </w:numPr>
        <w:spacing w:after="0"/>
      </w:pPr>
      <w:r>
        <w:t xml:space="preserve">Provision of </w:t>
      </w:r>
      <w:r w:rsidR="003457F2">
        <w:t>publicly</w:t>
      </w:r>
      <w:r w:rsidRPr="008442B6">
        <w:rPr>
          <w:rFonts w:ascii="MS Gothic" w:hAnsi="MS Gothic" w:cs="MS Gothic"/>
        </w:rPr>
        <w:t>‑</w:t>
      </w:r>
      <w:r>
        <w:t>available online information or engagement resources</w:t>
      </w:r>
    </w:p>
    <w:p w14:paraId="41747F94" w14:textId="77777777" w:rsidR="009D0117" w:rsidRDefault="009D0117" w:rsidP="009D0117">
      <w:pPr>
        <w:pStyle w:val="ListParagraph"/>
        <w:numPr>
          <w:ilvl w:val="0"/>
          <w:numId w:val="10"/>
        </w:numPr>
        <w:spacing w:after="0"/>
      </w:pPr>
      <w:r>
        <w:t>Sustained engagement with a community or group</w:t>
      </w:r>
    </w:p>
    <w:p w14:paraId="2D4F3300" w14:textId="77777777" w:rsidR="009D0117" w:rsidRDefault="009D0117" w:rsidP="009D0117">
      <w:pPr>
        <w:pStyle w:val="ListParagraph"/>
        <w:numPr>
          <w:ilvl w:val="0"/>
          <w:numId w:val="10"/>
        </w:numPr>
        <w:spacing w:after="0"/>
      </w:pPr>
      <w:r>
        <w:t>Provision of teaching or teaching materials for audiences outside the University of Cambridge</w:t>
      </w:r>
    </w:p>
    <w:p w14:paraId="52643F7F" w14:textId="77777777" w:rsidR="009D0117" w:rsidRDefault="009D0117" w:rsidP="009D0117">
      <w:pPr>
        <w:spacing w:after="0"/>
      </w:pPr>
    </w:p>
    <w:p w14:paraId="6AE4C353" w14:textId="77777777" w:rsidR="009D0117" w:rsidRDefault="009D0117" w:rsidP="009D0117">
      <w:pPr>
        <w:spacing w:after="0"/>
      </w:pPr>
      <w:r>
        <w:t>Activities to change policies or guidelines might include:</w:t>
      </w:r>
    </w:p>
    <w:p w14:paraId="65263F56" w14:textId="77777777" w:rsidR="009D0117" w:rsidRDefault="009D0117" w:rsidP="009D0117">
      <w:pPr>
        <w:pStyle w:val="ListParagraph"/>
        <w:numPr>
          <w:ilvl w:val="0"/>
          <w:numId w:val="10"/>
        </w:numPr>
        <w:spacing w:after="0"/>
      </w:pPr>
      <w:r>
        <w:t>Contribution to curriculum design</w:t>
      </w:r>
    </w:p>
    <w:p w14:paraId="0758AD92" w14:textId="77777777" w:rsidR="009D0117" w:rsidRDefault="009D0117" w:rsidP="009D0117">
      <w:pPr>
        <w:pStyle w:val="ListParagraph"/>
        <w:numPr>
          <w:ilvl w:val="0"/>
          <w:numId w:val="10"/>
        </w:numPr>
        <w:spacing w:after="0"/>
      </w:pPr>
      <w:r>
        <w:t>Contribution to or provision of evidence (</w:t>
      </w:r>
      <w:proofErr w:type="gramStart"/>
      <w:r>
        <w:t>e.g.</w:t>
      </w:r>
      <w:proofErr w:type="gramEnd"/>
      <w:r>
        <w:t xml:space="preserve"> to select committees)</w:t>
      </w:r>
    </w:p>
    <w:p w14:paraId="70078005" w14:textId="77777777" w:rsidR="009D0117" w:rsidRDefault="009D0117" w:rsidP="009D0117">
      <w:pPr>
        <w:pStyle w:val="ListParagraph"/>
        <w:numPr>
          <w:ilvl w:val="0"/>
          <w:numId w:val="10"/>
        </w:numPr>
        <w:spacing w:after="0"/>
      </w:pPr>
      <w:r>
        <w:t>Formal advisory role</w:t>
      </w:r>
    </w:p>
    <w:p w14:paraId="6AC732AE" w14:textId="77777777" w:rsidR="009D0117" w:rsidRDefault="009D0117" w:rsidP="009D0117">
      <w:pPr>
        <w:pStyle w:val="ListParagraph"/>
        <w:numPr>
          <w:ilvl w:val="0"/>
          <w:numId w:val="10"/>
        </w:numPr>
        <w:spacing w:after="0"/>
      </w:pPr>
      <w:r>
        <w:t>Provision of data to inform development of new or modified guidelines</w:t>
      </w:r>
    </w:p>
    <w:p w14:paraId="76F02895" w14:textId="77777777" w:rsidR="009D0117" w:rsidRDefault="009D0117" w:rsidP="009D0117">
      <w:pPr>
        <w:spacing w:after="0"/>
      </w:pPr>
    </w:p>
    <w:p w14:paraId="7651C134" w14:textId="77777777" w:rsidR="009D0117" w:rsidRDefault="009D0117" w:rsidP="009D0117">
      <w:pPr>
        <w:spacing w:after="0"/>
      </w:pPr>
      <w:r>
        <w:t>Activities to change practice, performance, or outcomes might include:</w:t>
      </w:r>
    </w:p>
    <w:p w14:paraId="396DE971" w14:textId="77777777" w:rsidR="009D0117" w:rsidRDefault="009D0117" w:rsidP="009D0117">
      <w:pPr>
        <w:pStyle w:val="ListParagraph"/>
        <w:numPr>
          <w:ilvl w:val="0"/>
          <w:numId w:val="10"/>
        </w:numPr>
        <w:spacing w:after="0" w:line="240" w:lineRule="auto"/>
      </w:pPr>
      <w:r>
        <w:t>Artistic collaboration</w:t>
      </w:r>
    </w:p>
    <w:p w14:paraId="48A17023" w14:textId="77777777" w:rsidR="009D0117" w:rsidRDefault="009D0117" w:rsidP="009D0117">
      <w:pPr>
        <w:pStyle w:val="ListParagraph"/>
        <w:numPr>
          <w:ilvl w:val="0"/>
          <w:numId w:val="10"/>
        </w:numPr>
        <w:spacing w:after="0" w:line="240" w:lineRule="auto"/>
      </w:pPr>
      <w:r>
        <w:t>(Contribution to) set up of new service</w:t>
      </w:r>
    </w:p>
    <w:p w14:paraId="7457D19E" w14:textId="77777777" w:rsidR="009D0117" w:rsidRDefault="009D0117" w:rsidP="009D0117">
      <w:pPr>
        <w:pStyle w:val="ListParagraph"/>
        <w:numPr>
          <w:ilvl w:val="0"/>
          <w:numId w:val="10"/>
        </w:numPr>
        <w:spacing w:after="0" w:line="240" w:lineRule="auto"/>
      </w:pPr>
      <w:r>
        <w:t>(Contribution to) set up of spin outs, including social enterprises</w:t>
      </w:r>
    </w:p>
    <w:p w14:paraId="6811919B" w14:textId="77777777" w:rsidR="009D0117" w:rsidRDefault="009D0117" w:rsidP="009D0117">
      <w:pPr>
        <w:pStyle w:val="ListParagraph"/>
        <w:numPr>
          <w:ilvl w:val="0"/>
          <w:numId w:val="10"/>
        </w:numPr>
        <w:spacing w:after="0" w:line="240" w:lineRule="auto"/>
      </w:pPr>
      <w:r>
        <w:t>Invited provision of expert advice to inform practice</w:t>
      </w:r>
    </w:p>
    <w:p w14:paraId="050BE737" w14:textId="77777777" w:rsidR="009D0117" w:rsidRDefault="009D0117" w:rsidP="009D0117">
      <w:pPr>
        <w:pStyle w:val="ListParagraph"/>
        <w:numPr>
          <w:ilvl w:val="0"/>
          <w:numId w:val="10"/>
        </w:numPr>
        <w:spacing w:after="0" w:line="240" w:lineRule="auto"/>
      </w:pPr>
      <w:r>
        <w:t>Knowledge Transfer Partnerships</w:t>
      </w:r>
    </w:p>
    <w:p w14:paraId="34B1DEC8" w14:textId="77777777" w:rsidR="009D0117" w:rsidRDefault="009D0117" w:rsidP="009D0117">
      <w:pPr>
        <w:pStyle w:val="ListParagraph"/>
        <w:numPr>
          <w:ilvl w:val="0"/>
          <w:numId w:val="10"/>
        </w:numPr>
        <w:spacing w:after="0" w:line="240" w:lineRule="auto"/>
      </w:pPr>
      <w:r>
        <w:t>Licensing and patenting</w:t>
      </w:r>
    </w:p>
    <w:p w14:paraId="26BC622B" w14:textId="77777777" w:rsidR="009D0117" w:rsidRDefault="009D0117" w:rsidP="009D0117">
      <w:pPr>
        <w:pStyle w:val="ListParagraph"/>
        <w:numPr>
          <w:ilvl w:val="0"/>
          <w:numId w:val="10"/>
        </w:numPr>
        <w:spacing w:after="0" w:line="240" w:lineRule="auto"/>
      </w:pPr>
      <w:r>
        <w:t>Practice– or design</w:t>
      </w:r>
      <w:r w:rsidRPr="008D2906">
        <w:rPr>
          <w:rFonts w:ascii="MS Gothic" w:hAnsi="MS Gothic" w:cs="MS Gothic"/>
        </w:rPr>
        <w:t>‑</w:t>
      </w:r>
      <w:r>
        <w:t>based research (</w:t>
      </w:r>
      <w:proofErr w:type="gramStart"/>
      <w:r>
        <w:t>e.g.</w:t>
      </w:r>
      <w:proofErr w:type="gramEnd"/>
      <w:r>
        <w:t xml:space="preserve"> design of buildings, spaces; production of art or music)</w:t>
      </w:r>
    </w:p>
    <w:p w14:paraId="240ED85A" w14:textId="77777777" w:rsidR="009D0117" w:rsidRDefault="009D0117" w:rsidP="009D0117">
      <w:pPr>
        <w:pStyle w:val="ListParagraph"/>
        <w:numPr>
          <w:ilvl w:val="0"/>
          <w:numId w:val="10"/>
        </w:numPr>
        <w:spacing w:after="0" w:line="240" w:lineRule="auto"/>
      </w:pPr>
      <w:r>
        <w:t>Production of prototypes, tool kits, beta software etc. for use beyond academia</w:t>
      </w:r>
    </w:p>
    <w:p w14:paraId="688EA82B" w14:textId="77777777" w:rsidR="009D0117" w:rsidRDefault="009D0117" w:rsidP="009D0117">
      <w:pPr>
        <w:pStyle w:val="ListParagraph"/>
        <w:numPr>
          <w:ilvl w:val="0"/>
          <w:numId w:val="10"/>
        </w:numPr>
        <w:spacing w:after="0" w:line="240" w:lineRule="auto"/>
      </w:pPr>
      <w:r>
        <w:t>Proof of Concept projects</w:t>
      </w:r>
    </w:p>
    <w:p w14:paraId="43D671A8" w14:textId="77777777" w:rsidR="009D0117" w:rsidRDefault="009D0117" w:rsidP="009D0117">
      <w:pPr>
        <w:pStyle w:val="ListParagraph"/>
        <w:numPr>
          <w:ilvl w:val="0"/>
          <w:numId w:val="10"/>
        </w:numPr>
        <w:spacing w:after="0" w:line="240" w:lineRule="auto"/>
      </w:pPr>
      <w:r>
        <w:t>Provision of new materials or products based on research</w:t>
      </w:r>
    </w:p>
    <w:p w14:paraId="14D3136C" w14:textId="77777777" w:rsidR="009D0117" w:rsidRDefault="009D0117" w:rsidP="009D0117">
      <w:pPr>
        <w:pStyle w:val="ListParagraph"/>
        <w:numPr>
          <w:ilvl w:val="0"/>
          <w:numId w:val="10"/>
        </w:numPr>
        <w:spacing w:after="0" w:line="240" w:lineRule="auto"/>
      </w:pPr>
      <w:r>
        <w:t xml:space="preserve">Provision of new methodologies, </w:t>
      </w:r>
      <w:proofErr w:type="gramStart"/>
      <w:r>
        <w:t>frameworks</w:t>
      </w:r>
      <w:proofErr w:type="gramEnd"/>
      <w:r>
        <w:t xml:space="preserve"> or techniques for use beyond academia</w:t>
      </w:r>
    </w:p>
    <w:p w14:paraId="009CE477" w14:textId="77777777" w:rsidR="009D0117" w:rsidRDefault="009D0117" w:rsidP="009D0117">
      <w:pPr>
        <w:pStyle w:val="ListParagraph"/>
        <w:numPr>
          <w:ilvl w:val="0"/>
          <w:numId w:val="10"/>
        </w:numPr>
        <w:spacing w:after="0" w:line="240" w:lineRule="auto"/>
      </w:pPr>
      <w:r>
        <w:t>Research fed directly into clinical practice (</w:t>
      </w:r>
      <w:proofErr w:type="gramStart"/>
      <w:r>
        <w:t>e.g.</w:t>
      </w:r>
      <w:proofErr w:type="gramEnd"/>
      <w:r>
        <w:t xml:space="preserve"> via clinical trialling)</w:t>
      </w:r>
    </w:p>
    <w:p w14:paraId="1DF54E9F" w14:textId="77777777" w:rsidR="009D0117" w:rsidRDefault="009D0117" w:rsidP="009D0117">
      <w:pPr>
        <w:spacing w:after="240"/>
        <w:rPr>
          <w:rFonts w:ascii="Calibri" w:eastAsia="Times New Roman" w:hAnsi="Calibri" w:cs="Times New Roman"/>
          <w:b/>
          <w:bCs/>
          <w:color w:val="365F91"/>
          <w:sz w:val="28"/>
          <w:szCs w:val="28"/>
          <w:lang w:val="x-none" w:eastAsia="x-none"/>
        </w:rPr>
      </w:pPr>
    </w:p>
    <w:p w14:paraId="66D5F5BD" w14:textId="77777777" w:rsidR="0039686A" w:rsidRDefault="0039686A">
      <w:pPr>
        <w:rPr>
          <w:color w:val="0000FF" w:themeColor="hyperlink"/>
          <w:u w:val="single"/>
          <w:lang w:eastAsia="x-none"/>
        </w:rPr>
      </w:pPr>
      <w:r>
        <w:rPr>
          <w:color w:val="0000FF" w:themeColor="hyperlink"/>
          <w:u w:val="single"/>
          <w:lang w:eastAsia="x-none"/>
        </w:rPr>
        <w:br w:type="page"/>
      </w:r>
    </w:p>
    <w:p w14:paraId="3941400B" w14:textId="412CCD29" w:rsidR="0039686A" w:rsidRPr="0039686A" w:rsidRDefault="0039686A" w:rsidP="0039686A">
      <w:pPr>
        <w:spacing w:after="0" w:line="240" w:lineRule="auto"/>
        <w:rPr>
          <w:b/>
          <w:sz w:val="24"/>
          <w:szCs w:val="24"/>
        </w:rPr>
      </w:pPr>
      <w:r w:rsidRPr="0039686A">
        <w:rPr>
          <w:b/>
          <w:sz w:val="24"/>
          <w:szCs w:val="24"/>
        </w:rPr>
        <w:lastRenderedPageBreak/>
        <w:t xml:space="preserve">Annex C: </w:t>
      </w:r>
      <w:r w:rsidR="003457F2">
        <w:rPr>
          <w:b/>
          <w:sz w:val="24"/>
          <w:szCs w:val="24"/>
        </w:rPr>
        <w:t xml:space="preserve">Outcomes, </w:t>
      </w:r>
      <w:r w:rsidRPr="0039686A">
        <w:rPr>
          <w:b/>
          <w:sz w:val="24"/>
          <w:szCs w:val="24"/>
        </w:rPr>
        <w:t>Metrics</w:t>
      </w:r>
      <w:r w:rsidR="003457F2">
        <w:rPr>
          <w:b/>
          <w:sz w:val="24"/>
          <w:szCs w:val="24"/>
        </w:rPr>
        <w:t>,</w:t>
      </w:r>
      <w:r w:rsidRPr="0039686A">
        <w:rPr>
          <w:b/>
          <w:sz w:val="24"/>
          <w:szCs w:val="24"/>
        </w:rPr>
        <w:t xml:space="preserve"> and Indicators</w:t>
      </w:r>
    </w:p>
    <w:p w14:paraId="1742C934" w14:textId="77777777" w:rsidR="0039686A" w:rsidRDefault="0039686A" w:rsidP="0039686A">
      <w:pPr>
        <w:spacing w:after="0" w:line="240" w:lineRule="auto"/>
      </w:pPr>
    </w:p>
    <w:p w14:paraId="782D963F" w14:textId="77777777" w:rsidR="0039686A" w:rsidRDefault="0039686A" w:rsidP="0039686A">
      <w:pPr>
        <w:spacing w:after="0" w:line="240" w:lineRule="auto"/>
      </w:pPr>
      <w:r>
        <w:t>PRIMARILY INDICATE DISSEMINATION/SHARING OF RESEARCH FINDINGS</w:t>
      </w:r>
    </w:p>
    <w:p w14:paraId="07E9DE3C" w14:textId="77777777" w:rsidR="0039686A" w:rsidRDefault="0039686A" w:rsidP="0039686A">
      <w:pPr>
        <w:spacing w:after="0" w:line="240" w:lineRule="auto"/>
      </w:pPr>
      <w:r>
        <w:t>Activity: Working with partners and collaborators</w:t>
      </w:r>
    </w:p>
    <w:p w14:paraId="31FF5447" w14:textId="5E0E2D71" w:rsidR="0039686A" w:rsidRDefault="0039686A" w:rsidP="0039686A">
      <w:pPr>
        <w:spacing w:after="0" w:line="240" w:lineRule="auto"/>
        <w:ind w:left="720"/>
      </w:pPr>
      <w:r>
        <w:t>Indicators might include</w:t>
      </w:r>
      <w:r w:rsidR="003457F2">
        <w:t xml:space="preserve"> an increase in partners, diversification of partners, or innovation in choosing to work with new partners</w:t>
      </w:r>
      <w:r>
        <w:t>:</w:t>
      </w:r>
    </w:p>
    <w:p w14:paraId="2B50EF47" w14:textId="77777777" w:rsidR="0039686A" w:rsidRDefault="0039686A" w:rsidP="0039686A">
      <w:pPr>
        <w:pStyle w:val="ListParagraph"/>
        <w:numPr>
          <w:ilvl w:val="0"/>
          <w:numId w:val="23"/>
        </w:numPr>
        <w:spacing w:after="0" w:line="240" w:lineRule="auto"/>
        <w:ind w:left="1080"/>
      </w:pPr>
      <w:r>
        <w:t>Number of collaborative partners (academic or otherwise) engaged with research</w:t>
      </w:r>
    </w:p>
    <w:p w14:paraId="5AF83535" w14:textId="77777777" w:rsidR="0039686A" w:rsidRDefault="0039686A" w:rsidP="0039686A">
      <w:pPr>
        <w:pStyle w:val="ListParagraph"/>
        <w:numPr>
          <w:ilvl w:val="0"/>
          <w:numId w:val="23"/>
        </w:numPr>
        <w:spacing w:after="0" w:line="240" w:lineRule="auto"/>
        <w:ind w:left="1080"/>
      </w:pPr>
      <w:r>
        <w:t xml:space="preserve">Number of collaborators new to PI or project, or to </w:t>
      </w:r>
      <w:r w:rsidR="000E212D">
        <w:t>the</w:t>
      </w:r>
      <w:r>
        <w:t xml:space="preserve"> </w:t>
      </w:r>
      <w:r w:rsidR="000E212D">
        <w:t>University of Cambridge</w:t>
      </w:r>
    </w:p>
    <w:p w14:paraId="7F1E17DA" w14:textId="77777777" w:rsidR="0039686A" w:rsidRDefault="0039686A" w:rsidP="0039686A">
      <w:pPr>
        <w:pStyle w:val="ListParagraph"/>
        <w:numPr>
          <w:ilvl w:val="0"/>
          <w:numId w:val="23"/>
        </w:numPr>
        <w:spacing w:after="0" w:line="240" w:lineRule="auto"/>
        <w:ind w:left="1080"/>
      </w:pPr>
      <w:r>
        <w:t>Number of other institutions engaged (including through secondments)</w:t>
      </w:r>
    </w:p>
    <w:p w14:paraId="40861216" w14:textId="77777777" w:rsidR="0039686A" w:rsidRDefault="0039686A" w:rsidP="0039686A">
      <w:pPr>
        <w:pStyle w:val="ListParagraph"/>
        <w:numPr>
          <w:ilvl w:val="0"/>
          <w:numId w:val="23"/>
        </w:numPr>
        <w:spacing w:after="0" w:line="240" w:lineRule="auto"/>
        <w:ind w:left="1080"/>
      </w:pPr>
      <w:r>
        <w:t>Number of collaborative projects continuing beyond initial research or KE work</w:t>
      </w:r>
    </w:p>
    <w:p w14:paraId="7270B4A0" w14:textId="77777777" w:rsidR="0039686A" w:rsidRDefault="0039686A" w:rsidP="0039686A">
      <w:pPr>
        <w:pStyle w:val="ListParagraph"/>
        <w:numPr>
          <w:ilvl w:val="0"/>
          <w:numId w:val="23"/>
        </w:numPr>
        <w:spacing w:after="0" w:line="240" w:lineRule="auto"/>
        <w:ind w:left="1080"/>
      </w:pPr>
      <w:r>
        <w:t>Number of new collaborative projects or project proposals</w:t>
      </w:r>
    </w:p>
    <w:p w14:paraId="68CE47C6" w14:textId="77777777" w:rsidR="0039686A" w:rsidRDefault="0039686A" w:rsidP="0039686A">
      <w:pPr>
        <w:pStyle w:val="ListParagraph"/>
        <w:numPr>
          <w:ilvl w:val="0"/>
          <w:numId w:val="23"/>
        </w:numPr>
        <w:spacing w:after="0" w:line="240" w:lineRule="auto"/>
        <w:ind w:left="1080"/>
      </w:pPr>
      <w:r>
        <w:t xml:space="preserve">Number of skilled people moving into or out of </w:t>
      </w:r>
      <w:r w:rsidR="000E212D">
        <w:t>the University of Cambridge</w:t>
      </w:r>
    </w:p>
    <w:p w14:paraId="4CA45544" w14:textId="77777777" w:rsidR="0039686A" w:rsidRDefault="0039686A" w:rsidP="0039686A">
      <w:pPr>
        <w:pStyle w:val="ListParagraph"/>
        <w:numPr>
          <w:ilvl w:val="0"/>
          <w:numId w:val="23"/>
        </w:numPr>
        <w:spacing w:after="0" w:line="240" w:lineRule="auto"/>
        <w:ind w:left="1080"/>
      </w:pPr>
      <w:r>
        <w:t>Details of in</w:t>
      </w:r>
      <w:r w:rsidRPr="00AB4A5A">
        <w:rPr>
          <w:rFonts w:ascii="MS Gothic" w:hAnsi="MS Gothic" w:cs="MS Gothic"/>
        </w:rPr>
        <w:t>‑</w:t>
      </w:r>
      <w:r>
        <w:t xml:space="preserve">kind contributions </w:t>
      </w:r>
      <w:proofErr w:type="gramStart"/>
      <w:r>
        <w:t>e.g.</w:t>
      </w:r>
      <w:proofErr w:type="gramEnd"/>
      <w:r>
        <w:t xml:space="preserve"> contribution of time, expertise, space</w:t>
      </w:r>
    </w:p>
    <w:p w14:paraId="5767DF7A" w14:textId="77777777" w:rsidR="0039686A" w:rsidRDefault="0039686A" w:rsidP="0039686A">
      <w:pPr>
        <w:pStyle w:val="ListParagraph"/>
        <w:numPr>
          <w:ilvl w:val="0"/>
          <w:numId w:val="23"/>
        </w:numPr>
        <w:spacing w:after="0" w:line="240" w:lineRule="auto"/>
        <w:ind w:left="1080"/>
      </w:pPr>
      <w:r>
        <w:t>Value of cash contributions</w:t>
      </w:r>
    </w:p>
    <w:p w14:paraId="46F539FD" w14:textId="77777777" w:rsidR="0039686A" w:rsidRDefault="0039686A" w:rsidP="0039686A">
      <w:pPr>
        <w:spacing w:after="0" w:line="240" w:lineRule="auto"/>
      </w:pPr>
      <w:r>
        <w:t>Activity: Disseminating research and its results beyond academia</w:t>
      </w:r>
    </w:p>
    <w:p w14:paraId="48BE839D" w14:textId="77777777" w:rsidR="0039686A" w:rsidRDefault="0039686A" w:rsidP="0039686A">
      <w:pPr>
        <w:spacing w:after="0" w:line="240" w:lineRule="auto"/>
        <w:ind w:left="720"/>
      </w:pPr>
      <w:r>
        <w:t>Indicators might include:</w:t>
      </w:r>
    </w:p>
    <w:p w14:paraId="4FCBFCAB" w14:textId="77777777" w:rsidR="0039686A" w:rsidRDefault="0039686A" w:rsidP="0039686A">
      <w:pPr>
        <w:pStyle w:val="ListParagraph"/>
        <w:numPr>
          <w:ilvl w:val="0"/>
          <w:numId w:val="24"/>
        </w:numPr>
        <w:spacing w:after="0" w:line="240" w:lineRule="auto"/>
        <w:ind w:left="1080"/>
      </w:pPr>
      <w:r>
        <w:t>Amount of traditional media coverage (press, television, radio etc.) and size of audiences</w:t>
      </w:r>
    </w:p>
    <w:p w14:paraId="5FA915C5" w14:textId="77777777" w:rsidR="0039686A" w:rsidRDefault="0039686A" w:rsidP="0039686A">
      <w:pPr>
        <w:pStyle w:val="ListParagraph"/>
        <w:numPr>
          <w:ilvl w:val="0"/>
          <w:numId w:val="24"/>
        </w:numPr>
        <w:spacing w:after="0" w:line="240" w:lineRule="auto"/>
        <w:ind w:left="1080"/>
      </w:pPr>
      <w:r>
        <w:t>Amount of online / social media coverage and size of audiences</w:t>
      </w:r>
    </w:p>
    <w:p w14:paraId="74B504C0" w14:textId="77777777" w:rsidR="0039686A" w:rsidRDefault="0039686A" w:rsidP="0039686A">
      <w:pPr>
        <w:pStyle w:val="ListParagraph"/>
        <w:numPr>
          <w:ilvl w:val="0"/>
          <w:numId w:val="24"/>
        </w:numPr>
        <w:spacing w:after="0" w:line="240" w:lineRule="auto"/>
        <w:ind w:left="1080"/>
      </w:pPr>
      <w:r>
        <w:t>Number (and bibliographic details) of publications produced for non</w:t>
      </w:r>
      <w:r w:rsidRPr="00AB4A5A">
        <w:rPr>
          <w:rFonts w:ascii="MS Gothic" w:hAnsi="MS Gothic" w:cs="MS Gothic"/>
        </w:rPr>
        <w:t>‑</w:t>
      </w:r>
      <w:r>
        <w:t>academic audiences</w:t>
      </w:r>
    </w:p>
    <w:p w14:paraId="5F841FF3" w14:textId="77777777" w:rsidR="0039686A" w:rsidRDefault="0039686A" w:rsidP="0039686A">
      <w:pPr>
        <w:pStyle w:val="ListParagraph"/>
        <w:numPr>
          <w:ilvl w:val="0"/>
          <w:numId w:val="24"/>
        </w:numPr>
        <w:spacing w:after="0" w:line="240" w:lineRule="auto"/>
        <w:ind w:left="1080"/>
      </w:pPr>
      <w:r>
        <w:t>Number of contributions to external research</w:t>
      </w:r>
      <w:r w:rsidRPr="00AB4A5A">
        <w:rPr>
          <w:rFonts w:ascii="MS Gothic" w:hAnsi="MS Gothic" w:cs="MS Gothic"/>
        </w:rPr>
        <w:t>‑</w:t>
      </w:r>
      <w:r>
        <w:t>related events</w:t>
      </w:r>
    </w:p>
    <w:p w14:paraId="6ACAA430" w14:textId="77777777" w:rsidR="0039686A" w:rsidRDefault="0039686A" w:rsidP="0039686A">
      <w:pPr>
        <w:pStyle w:val="ListParagraph"/>
        <w:numPr>
          <w:ilvl w:val="0"/>
          <w:numId w:val="24"/>
        </w:numPr>
        <w:spacing w:after="0" w:line="240" w:lineRule="auto"/>
        <w:ind w:left="1080"/>
      </w:pPr>
      <w:r>
        <w:t>Number of research</w:t>
      </w:r>
      <w:r w:rsidRPr="00AB4A5A">
        <w:rPr>
          <w:rFonts w:ascii="MS Gothic" w:hAnsi="MS Gothic" w:cs="MS Gothic"/>
        </w:rPr>
        <w:t>‑</w:t>
      </w:r>
      <w:r>
        <w:t>related events</w:t>
      </w:r>
    </w:p>
    <w:p w14:paraId="7B09A963" w14:textId="77777777" w:rsidR="0039686A" w:rsidRDefault="0039686A" w:rsidP="0039686A">
      <w:pPr>
        <w:pStyle w:val="ListParagraph"/>
        <w:numPr>
          <w:ilvl w:val="0"/>
          <w:numId w:val="24"/>
        </w:numPr>
        <w:spacing w:after="0" w:line="240" w:lineRule="auto"/>
        <w:ind w:left="1080"/>
      </w:pPr>
      <w:r>
        <w:t>Number of attendees at research</w:t>
      </w:r>
      <w:r w:rsidRPr="00AB4A5A">
        <w:rPr>
          <w:rFonts w:ascii="MS Gothic" w:hAnsi="MS Gothic" w:cs="MS Gothic"/>
        </w:rPr>
        <w:t>‑</w:t>
      </w:r>
      <w:r>
        <w:t>related events</w:t>
      </w:r>
    </w:p>
    <w:p w14:paraId="3CB44728" w14:textId="77777777" w:rsidR="0039686A" w:rsidRDefault="0039686A" w:rsidP="0039686A">
      <w:pPr>
        <w:spacing w:after="0" w:line="240" w:lineRule="auto"/>
      </w:pPr>
    </w:p>
    <w:p w14:paraId="6B1A9DAC" w14:textId="77777777" w:rsidR="0039686A" w:rsidRDefault="0039686A" w:rsidP="0039686A">
      <w:pPr>
        <w:spacing w:after="0" w:line="240" w:lineRule="auto"/>
      </w:pPr>
      <w:r>
        <w:t>PRIMARILY INDICATE ENGAGEMENT WITH RESEARCH OR RESEARCHERS</w:t>
      </w:r>
    </w:p>
    <w:p w14:paraId="771FCF02" w14:textId="77777777" w:rsidR="0039686A" w:rsidRDefault="0039686A" w:rsidP="0039686A">
      <w:pPr>
        <w:spacing w:after="0" w:line="240" w:lineRule="auto"/>
      </w:pPr>
      <w:r>
        <w:t xml:space="preserve">Activity: Engaging general audiences outside academia </w:t>
      </w:r>
    </w:p>
    <w:p w14:paraId="1A5585ED" w14:textId="77777777" w:rsidR="0039686A" w:rsidRDefault="0039686A" w:rsidP="0039686A">
      <w:pPr>
        <w:spacing w:after="0" w:line="240" w:lineRule="auto"/>
        <w:ind w:firstLine="720"/>
      </w:pPr>
      <w:r>
        <w:t>Indicators might include:</w:t>
      </w:r>
    </w:p>
    <w:p w14:paraId="5DFF94DC" w14:textId="77777777" w:rsidR="0039686A" w:rsidRDefault="0039686A" w:rsidP="0039686A">
      <w:pPr>
        <w:pStyle w:val="ListParagraph"/>
        <w:numPr>
          <w:ilvl w:val="0"/>
          <w:numId w:val="25"/>
        </w:numPr>
        <w:spacing w:after="0" w:line="240" w:lineRule="auto"/>
      </w:pPr>
      <w:r>
        <w:t>Amount of funding secured to sustain or extend initial engagement activities</w:t>
      </w:r>
    </w:p>
    <w:p w14:paraId="30FEABDE" w14:textId="77777777" w:rsidR="0039686A" w:rsidRDefault="0039686A" w:rsidP="0039686A">
      <w:pPr>
        <w:pStyle w:val="ListParagraph"/>
        <w:numPr>
          <w:ilvl w:val="0"/>
          <w:numId w:val="25"/>
        </w:numPr>
        <w:spacing w:after="0" w:line="240" w:lineRule="auto"/>
      </w:pPr>
      <w:r>
        <w:t>Evidence of increased (non</w:t>
      </w:r>
      <w:r w:rsidRPr="00AB4A5A">
        <w:rPr>
          <w:rFonts w:ascii="MS Gothic" w:hAnsi="MS Gothic" w:cs="MS Gothic"/>
        </w:rPr>
        <w:t>‑</w:t>
      </w:r>
      <w:r>
        <w:t>academic) engagement in or involvement with the research</w:t>
      </w:r>
    </w:p>
    <w:p w14:paraId="3514255D" w14:textId="77777777" w:rsidR="0039686A" w:rsidRDefault="0039686A" w:rsidP="0039686A">
      <w:pPr>
        <w:pStyle w:val="ListParagraph"/>
        <w:numPr>
          <w:ilvl w:val="0"/>
          <w:numId w:val="25"/>
        </w:numPr>
        <w:spacing w:after="0" w:line="240" w:lineRule="auto"/>
      </w:pPr>
      <w:r>
        <w:t>Examples of staff providing invited testimonials or evidence to non</w:t>
      </w:r>
      <w:r w:rsidRPr="00AB4A5A">
        <w:rPr>
          <w:rFonts w:ascii="MS Gothic" w:hAnsi="MS Gothic" w:cs="MS Gothic"/>
        </w:rPr>
        <w:t>‑</w:t>
      </w:r>
      <w:r>
        <w:t>academic audiences</w:t>
      </w:r>
    </w:p>
    <w:p w14:paraId="60EA1FB9" w14:textId="77777777" w:rsidR="0039686A" w:rsidRDefault="0039686A" w:rsidP="0039686A">
      <w:pPr>
        <w:pStyle w:val="ListParagraph"/>
        <w:numPr>
          <w:ilvl w:val="0"/>
          <w:numId w:val="25"/>
        </w:numPr>
        <w:spacing w:after="0" w:line="240" w:lineRule="auto"/>
      </w:pPr>
      <w:r>
        <w:t xml:space="preserve">Responses to coverage of research </w:t>
      </w:r>
      <w:proofErr w:type="gramStart"/>
      <w:r>
        <w:t>e.g.</w:t>
      </w:r>
      <w:proofErr w:type="gramEnd"/>
      <w:r>
        <w:t xml:space="preserve"> letters to a newspaper or online commentary</w:t>
      </w:r>
    </w:p>
    <w:p w14:paraId="10CFEC3A" w14:textId="77777777" w:rsidR="0039686A" w:rsidRDefault="0039686A" w:rsidP="0039686A">
      <w:pPr>
        <w:pStyle w:val="ListParagraph"/>
        <w:numPr>
          <w:ilvl w:val="0"/>
          <w:numId w:val="25"/>
        </w:numPr>
        <w:spacing w:after="0" w:line="240" w:lineRule="auto"/>
      </w:pPr>
      <w:r>
        <w:t>References to research on external organisations’ webpages or in their promotional materials</w:t>
      </w:r>
    </w:p>
    <w:p w14:paraId="13A635C1" w14:textId="77777777" w:rsidR="0039686A" w:rsidRDefault="0039686A" w:rsidP="0039686A">
      <w:pPr>
        <w:pStyle w:val="ListParagraph"/>
        <w:numPr>
          <w:ilvl w:val="0"/>
          <w:numId w:val="25"/>
        </w:numPr>
        <w:spacing w:after="0" w:line="240" w:lineRule="auto"/>
      </w:pPr>
      <w:r>
        <w:t>Sales or download figures for research outputs or online resources based on the research</w:t>
      </w:r>
    </w:p>
    <w:p w14:paraId="6A68E7EE" w14:textId="77777777" w:rsidR="0039686A" w:rsidRDefault="0039686A" w:rsidP="0039686A">
      <w:pPr>
        <w:spacing w:after="0" w:line="240" w:lineRule="auto"/>
      </w:pPr>
    </w:p>
    <w:p w14:paraId="559685DA" w14:textId="77777777" w:rsidR="0039686A" w:rsidRDefault="0039686A" w:rsidP="0039686A">
      <w:pPr>
        <w:spacing w:after="0" w:line="240" w:lineRule="auto"/>
      </w:pPr>
      <w:r>
        <w:t>Activity: Engaging specialist audiences outside academia</w:t>
      </w:r>
    </w:p>
    <w:p w14:paraId="0A99E7B9" w14:textId="77777777" w:rsidR="0039686A" w:rsidRDefault="0039686A" w:rsidP="0039686A">
      <w:pPr>
        <w:spacing w:after="0" w:line="240" w:lineRule="auto"/>
      </w:pPr>
      <w:r>
        <w:t>Indicators might include:</w:t>
      </w:r>
    </w:p>
    <w:p w14:paraId="4D5B4A6C" w14:textId="77777777" w:rsidR="0039686A" w:rsidRDefault="0039686A" w:rsidP="0039686A">
      <w:pPr>
        <w:pStyle w:val="ListParagraph"/>
        <w:numPr>
          <w:ilvl w:val="0"/>
          <w:numId w:val="26"/>
        </w:numPr>
        <w:spacing w:after="0" w:line="240" w:lineRule="auto"/>
      </w:pPr>
      <w:r>
        <w:t>Number (and where relevant value) of CPD or other training based on research</w:t>
      </w:r>
    </w:p>
    <w:p w14:paraId="4242DD23" w14:textId="77777777" w:rsidR="0039686A" w:rsidRDefault="0039686A" w:rsidP="0039686A">
      <w:pPr>
        <w:pStyle w:val="ListParagraph"/>
        <w:numPr>
          <w:ilvl w:val="0"/>
          <w:numId w:val="26"/>
        </w:numPr>
        <w:spacing w:after="0" w:line="240" w:lineRule="auto"/>
      </w:pPr>
      <w:r>
        <w:t>Number of advisory roles or memberships of expert groups</w:t>
      </w:r>
    </w:p>
    <w:p w14:paraId="1A2A61A2" w14:textId="77777777" w:rsidR="0039686A" w:rsidRDefault="0039686A" w:rsidP="0039686A">
      <w:pPr>
        <w:pStyle w:val="ListParagraph"/>
        <w:numPr>
          <w:ilvl w:val="0"/>
          <w:numId w:val="26"/>
        </w:numPr>
        <w:spacing w:after="0" w:line="240" w:lineRule="auto"/>
      </w:pPr>
      <w:r>
        <w:t>Number (and bibliographic details) of joint publications produced with non</w:t>
      </w:r>
      <w:r w:rsidRPr="00AB4A5A">
        <w:rPr>
          <w:rFonts w:ascii="MS Gothic" w:hAnsi="MS Gothic" w:cs="MS Gothic"/>
        </w:rPr>
        <w:t>‑</w:t>
      </w:r>
      <w:r>
        <w:t>academic partners</w:t>
      </w:r>
    </w:p>
    <w:p w14:paraId="66F03620" w14:textId="77777777" w:rsidR="0039686A" w:rsidRDefault="0039686A" w:rsidP="0039686A">
      <w:pPr>
        <w:pStyle w:val="ListParagraph"/>
        <w:numPr>
          <w:ilvl w:val="0"/>
          <w:numId w:val="26"/>
        </w:numPr>
        <w:spacing w:after="0" w:line="240" w:lineRule="auto"/>
      </w:pPr>
      <w:r>
        <w:t>Number of publications or other outputs for specific non</w:t>
      </w:r>
      <w:r w:rsidRPr="00AB4A5A">
        <w:rPr>
          <w:rFonts w:ascii="MS Gothic" w:hAnsi="MS Gothic" w:cs="MS Gothic"/>
        </w:rPr>
        <w:t>‑</w:t>
      </w:r>
      <w:r>
        <w:t>academic audiences</w:t>
      </w:r>
    </w:p>
    <w:p w14:paraId="28596542" w14:textId="77777777" w:rsidR="0039686A" w:rsidRDefault="0039686A" w:rsidP="0039686A">
      <w:pPr>
        <w:pStyle w:val="ListParagraph"/>
        <w:numPr>
          <w:ilvl w:val="0"/>
          <w:numId w:val="26"/>
        </w:numPr>
        <w:spacing w:after="0" w:line="240" w:lineRule="auto"/>
      </w:pPr>
      <w:r>
        <w:t xml:space="preserve">Number of talks, workshops, </w:t>
      </w:r>
      <w:proofErr w:type="gramStart"/>
      <w:r>
        <w:t>lectures</w:t>
      </w:r>
      <w:proofErr w:type="gramEnd"/>
      <w:r>
        <w:t xml:space="preserve"> or seminars for specialist audiences outside academia</w:t>
      </w:r>
    </w:p>
    <w:p w14:paraId="088E6394" w14:textId="77777777" w:rsidR="0039686A" w:rsidRDefault="0039686A" w:rsidP="0039686A">
      <w:pPr>
        <w:pStyle w:val="ListParagraph"/>
        <w:numPr>
          <w:ilvl w:val="0"/>
          <w:numId w:val="26"/>
        </w:numPr>
        <w:spacing w:after="0" w:line="240" w:lineRule="auto"/>
      </w:pPr>
      <w:r>
        <w:t>Number of languages into which outputs are translated; sales or download figures for these</w:t>
      </w:r>
    </w:p>
    <w:p w14:paraId="598EECFF" w14:textId="77777777" w:rsidR="0039686A" w:rsidRDefault="0039686A" w:rsidP="0039686A">
      <w:pPr>
        <w:pStyle w:val="ListParagraph"/>
        <w:numPr>
          <w:ilvl w:val="0"/>
          <w:numId w:val="26"/>
        </w:numPr>
        <w:spacing w:after="0" w:line="240" w:lineRule="auto"/>
      </w:pPr>
      <w:r>
        <w:t>Value of commissioned work or consultancy (</w:t>
      </w:r>
      <w:proofErr w:type="gramStart"/>
      <w:r>
        <w:t>whether or not</w:t>
      </w:r>
      <w:proofErr w:type="gramEnd"/>
      <w:r>
        <w:t xml:space="preserve"> this was actually paid for</w:t>
      </w:r>
    </w:p>
    <w:p w14:paraId="5B26D05F" w14:textId="77777777" w:rsidR="0039686A" w:rsidRDefault="0039686A" w:rsidP="0039686A">
      <w:pPr>
        <w:spacing w:after="0" w:line="240" w:lineRule="auto"/>
      </w:pPr>
    </w:p>
    <w:p w14:paraId="7B14AF44" w14:textId="77777777" w:rsidR="0039686A" w:rsidRDefault="0039686A" w:rsidP="0039686A">
      <w:pPr>
        <w:spacing w:after="0" w:line="240" w:lineRule="auto"/>
      </w:pPr>
      <w:r>
        <w:t>PRIMARILY INDICATE CHANGES RESULTING FROM DISSEMINATION AND EXCHANGE (IMPACT)</w:t>
      </w:r>
    </w:p>
    <w:p w14:paraId="6394ACFA" w14:textId="77777777" w:rsidR="0039686A" w:rsidRDefault="0039686A" w:rsidP="0039686A">
      <w:pPr>
        <w:spacing w:after="0" w:line="240" w:lineRule="auto"/>
      </w:pPr>
      <w:r>
        <w:t>Activity: Changing attitudes, awareness, or understanding</w:t>
      </w:r>
    </w:p>
    <w:p w14:paraId="59BCD49A" w14:textId="77777777" w:rsidR="0039686A" w:rsidRDefault="0039686A" w:rsidP="0039686A">
      <w:pPr>
        <w:spacing w:after="0" w:line="240" w:lineRule="auto"/>
      </w:pPr>
      <w:r>
        <w:t>Indicators might include:</w:t>
      </w:r>
    </w:p>
    <w:p w14:paraId="3C34F35C" w14:textId="77777777" w:rsidR="0039686A" w:rsidRDefault="0039686A" w:rsidP="0039686A">
      <w:pPr>
        <w:pStyle w:val="ListParagraph"/>
        <w:numPr>
          <w:ilvl w:val="0"/>
          <w:numId w:val="27"/>
        </w:numPr>
        <w:spacing w:after="0" w:line="240" w:lineRule="auto"/>
      </w:pPr>
      <w:r>
        <w:t xml:space="preserve">Evidence of change in awareness, attitudes or understanding from </w:t>
      </w:r>
      <w:proofErr w:type="gramStart"/>
      <w:r>
        <w:t>e.g.</w:t>
      </w:r>
      <w:proofErr w:type="gramEnd"/>
      <w:r>
        <w:t xml:space="preserve"> independent surveys</w:t>
      </w:r>
    </w:p>
    <w:p w14:paraId="5668DAF9" w14:textId="77777777" w:rsidR="0039686A" w:rsidRDefault="0039686A" w:rsidP="0039686A">
      <w:pPr>
        <w:pStyle w:val="ListParagraph"/>
        <w:numPr>
          <w:ilvl w:val="0"/>
          <w:numId w:val="27"/>
        </w:numPr>
        <w:spacing w:after="0" w:line="240" w:lineRule="auto"/>
      </w:pPr>
      <w:r>
        <w:lastRenderedPageBreak/>
        <w:t>Evidence of increased engagement with or enquiries to external organisations associated with the research (</w:t>
      </w:r>
      <w:proofErr w:type="gramStart"/>
      <w:r>
        <w:t>e.g.</w:t>
      </w:r>
      <w:proofErr w:type="gramEnd"/>
      <w:r>
        <w:t xml:space="preserve"> work on legal aid prompting enquiries to Citizens Advice Bureau)</w:t>
      </w:r>
    </w:p>
    <w:p w14:paraId="0FA57866" w14:textId="77777777" w:rsidR="0039686A" w:rsidRDefault="0039686A" w:rsidP="0039686A">
      <w:pPr>
        <w:pStyle w:val="ListParagraph"/>
        <w:numPr>
          <w:ilvl w:val="0"/>
          <w:numId w:val="27"/>
        </w:numPr>
        <w:spacing w:after="0" w:line="240" w:lineRule="auto"/>
      </w:pPr>
      <w:r>
        <w:t>Examples of engagement with or responses to research or media coverage of research, particularly where these show a new interest in or changed attitude toward a specific subject</w:t>
      </w:r>
    </w:p>
    <w:p w14:paraId="5A0890C8" w14:textId="77777777" w:rsidR="0039686A" w:rsidRDefault="0039686A" w:rsidP="0039686A">
      <w:pPr>
        <w:spacing w:after="0" w:line="240" w:lineRule="auto"/>
      </w:pPr>
      <w:r>
        <w:t>Activity: Changing policy or guidelines</w:t>
      </w:r>
    </w:p>
    <w:p w14:paraId="15A73D8C" w14:textId="77777777" w:rsidR="0039686A" w:rsidRDefault="0039686A" w:rsidP="0039686A">
      <w:pPr>
        <w:spacing w:after="0" w:line="240" w:lineRule="auto"/>
      </w:pPr>
      <w:r>
        <w:t>Indicators might include:</w:t>
      </w:r>
    </w:p>
    <w:p w14:paraId="4BF0E51F" w14:textId="77777777" w:rsidR="0039686A" w:rsidRDefault="0039686A" w:rsidP="0039686A">
      <w:pPr>
        <w:pStyle w:val="ListParagraph"/>
        <w:numPr>
          <w:ilvl w:val="0"/>
          <w:numId w:val="28"/>
        </w:numPr>
        <w:spacing w:after="0" w:line="240" w:lineRule="auto"/>
      </w:pPr>
      <w:r>
        <w:t>Inclusion of research outputs on curricula; number of institutions (and students) using these</w:t>
      </w:r>
    </w:p>
    <w:p w14:paraId="7392B81E" w14:textId="77777777" w:rsidR="0039686A" w:rsidRDefault="0039686A" w:rsidP="0039686A">
      <w:pPr>
        <w:pStyle w:val="ListParagraph"/>
        <w:numPr>
          <w:ilvl w:val="0"/>
          <w:numId w:val="28"/>
        </w:numPr>
        <w:spacing w:after="0" w:line="240" w:lineRule="auto"/>
      </w:pPr>
      <w:r>
        <w:t>References to research in new or modified policies or laws</w:t>
      </w:r>
    </w:p>
    <w:p w14:paraId="5EAE3947" w14:textId="77777777" w:rsidR="0039686A" w:rsidRDefault="0039686A" w:rsidP="0039686A">
      <w:pPr>
        <w:pStyle w:val="ListParagraph"/>
        <w:numPr>
          <w:ilvl w:val="0"/>
          <w:numId w:val="28"/>
        </w:numPr>
        <w:spacing w:after="0" w:line="240" w:lineRule="auto"/>
      </w:pPr>
      <w:r>
        <w:t xml:space="preserve">References to research in new or modified standards, </w:t>
      </w:r>
      <w:proofErr w:type="gramStart"/>
      <w:r>
        <w:t>guidelines</w:t>
      </w:r>
      <w:proofErr w:type="gramEnd"/>
      <w:r>
        <w:t xml:space="preserve"> or training guidance</w:t>
      </w:r>
    </w:p>
    <w:p w14:paraId="5CD845AA" w14:textId="77777777" w:rsidR="0039686A" w:rsidRDefault="0039686A" w:rsidP="0039686A">
      <w:pPr>
        <w:pStyle w:val="ListParagraph"/>
        <w:numPr>
          <w:ilvl w:val="0"/>
          <w:numId w:val="28"/>
        </w:numPr>
        <w:spacing w:after="0" w:line="240" w:lineRule="auto"/>
      </w:pPr>
      <w:r>
        <w:t>References to research or researcher in political debate or policy</w:t>
      </w:r>
      <w:r w:rsidRPr="00AB4A5A">
        <w:rPr>
          <w:rFonts w:ascii="MS Gothic" w:hAnsi="MS Gothic" w:cs="MS Gothic"/>
        </w:rPr>
        <w:t>‑</w:t>
      </w:r>
      <w:r>
        <w:t>making processes</w:t>
      </w:r>
    </w:p>
    <w:p w14:paraId="6FF561AC" w14:textId="77777777" w:rsidR="0039686A" w:rsidRDefault="0039686A" w:rsidP="0039686A">
      <w:pPr>
        <w:spacing w:after="0" w:line="240" w:lineRule="auto"/>
      </w:pPr>
      <w:r>
        <w:t>Activity: changing practice, performance, or outcomes</w:t>
      </w:r>
    </w:p>
    <w:p w14:paraId="33B0F84C" w14:textId="77777777" w:rsidR="0039686A" w:rsidRDefault="0039686A" w:rsidP="0039686A">
      <w:pPr>
        <w:spacing w:after="0" w:line="240" w:lineRule="auto"/>
      </w:pPr>
      <w:r>
        <w:t>Indicators might include:</w:t>
      </w:r>
    </w:p>
    <w:p w14:paraId="27325C58" w14:textId="77777777" w:rsidR="0039686A" w:rsidRDefault="0039686A" w:rsidP="0039686A">
      <w:pPr>
        <w:pStyle w:val="ListParagraph"/>
        <w:numPr>
          <w:ilvl w:val="0"/>
          <w:numId w:val="29"/>
        </w:numPr>
        <w:spacing w:after="0" w:line="240" w:lineRule="auto"/>
      </w:pPr>
      <w:r>
        <w:t>Changes in health indicators or outcomes for patients or related groups</w:t>
      </w:r>
    </w:p>
    <w:p w14:paraId="520D628D" w14:textId="77777777" w:rsidR="0039686A" w:rsidRDefault="0039686A" w:rsidP="0039686A">
      <w:pPr>
        <w:pStyle w:val="ListParagraph"/>
        <w:numPr>
          <w:ilvl w:val="0"/>
          <w:numId w:val="29"/>
        </w:numPr>
        <w:spacing w:after="0" w:line="240" w:lineRule="auto"/>
      </w:pPr>
      <w:r>
        <w:t>Evidence of changing trends in key technical performance measures</w:t>
      </w:r>
    </w:p>
    <w:p w14:paraId="668A991B" w14:textId="77777777" w:rsidR="0039686A" w:rsidRDefault="0039686A" w:rsidP="0039686A">
      <w:pPr>
        <w:pStyle w:val="ListParagraph"/>
        <w:numPr>
          <w:ilvl w:val="0"/>
          <w:numId w:val="29"/>
        </w:numPr>
        <w:spacing w:after="0" w:line="240" w:lineRule="auto"/>
      </w:pPr>
      <w:r>
        <w:t>Figures showing increased uptake of a service or product, including public services</w:t>
      </w:r>
    </w:p>
    <w:p w14:paraId="6E209180" w14:textId="77777777" w:rsidR="0039686A" w:rsidRDefault="0039686A" w:rsidP="0039686A">
      <w:pPr>
        <w:pStyle w:val="ListParagraph"/>
        <w:numPr>
          <w:ilvl w:val="0"/>
          <w:numId w:val="29"/>
        </w:numPr>
        <w:spacing w:after="0" w:line="240" w:lineRule="auto"/>
      </w:pPr>
      <w:r>
        <w:t xml:space="preserve">Financial information showing </w:t>
      </w:r>
      <w:proofErr w:type="gramStart"/>
      <w:r>
        <w:t>e.g.</w:t>
      </w:r>
      <w:proofErr w:type="gramEnd"/>
      <w:r>
        <w:t xml:space="preserve"> increased turnover or profit, or jobs created or protected</w:t>
      </w:r>
    </w:p>
    <w:p w14:paraId="727ABC88" w14:textId="77777777" w:rsidR="0039686A" w:rsidRDefault="0039686A" w:rsidP="0039686A">
      <w:pPr>
        <w:pStyle w:val="ListParagraph"/>
        <w:numPr>
          <w:ilvl w:val="0"/>
          <w:numId w:val="29"/>
        </w:numPr>
        <w:spacing w:after="0" w:line="240" w:lineRule="auto"/>
      </w:pPr>
      <w:r>
        <w:t>Increase in visitor or audience numbers for external partners</w:t>
      </w:r>
    </w:p>
    <w:p w14:paraId="699F8FEF" w14:textId="77777777" w:rsidR="0039686A" w:rsidRDefault="0039686A" w:rsidP="0039686A">
      <w:pPr>
        <w:pStyle w:val="ListParagraph"/>
        <w:numPr>
          <w:ilvl w:val="0"/>
          <w:numId w:val="29"/>
        </w:numPr>
        <w:spacing w:after="0" w:line="240" w:lineRule="auto"/>
      </w:pPr>
      <w:r>
        <w:t xml:space="preserve">Measures of improved public or other services </w:t>
      </w:r>
      <w:proofErr w:type="gramStart"/>
      <w:r>
        <w:t>e.g.</w:t>
      </w:r>
      <w:proofErr w:type="gramEnd"/>
      <w:r>
        <w:t xml:space="preserve"> from independent evaluations</w:t>
      </w:r>
    </w:p>
    <w:p w14:paraId="2961BEA2" w14:textId="77777777" w:rsidR="0039686A" w:rsidRDefault="0039686A" w:rsidP="0039686A">
      <w:pPr>
        <w:pStyle w:val="ListParagraph"/>
        <w:numPr>
          <w:ilvl w:val="0"/>
          <w:numId w:val="29"/>
        </w:numPr>
        <w:spacing w:after="0" w:line="240" w:lineRule="auto"/>
      </w:pPr>
      <w:r>
        <w:t xml:space="preserve">Measures of improved local, </w:t>
      </w:r>
      <w:proofErr w:type="gramStart"/>
      <w:r>
        <w:t>national</w:t>
      </w:r>
      <w:proofErr w:type="gramEnd"/>
      <w:r>
        <w:t xml:space="preserve"> or international welfare, equality or inclusion</w:t>
      </w:r>
    </w:p>
    <w:p w14:paraId="25DB1B87" w14:textId="77777777" w:rsidR="0039686A" w:rsidRDefault="0039686A" w:rsidP="0039686A">
      <w:pPr>
        <w:pStyle w:val="ListParagraph"/>
        <w:numPr>
          <w:ilvl w:val="0"/>
          <w:numId w:val="29"/>
        </w:numPr>
        <w:spacing w:after="0" w:line="240" w:lineRule="auto"/>
      </w:pPr>
      <w:r>
        <w:t>Measures of increased attainment in specific academic subjects in institutions using research to support teaching and learning in this area</w:t>
      </w:r>
    </w:p>
    <w:p w14:paraId="61BBD93E" w14:textId="77777777" w:rsidR="0039686A" w:rsidRDefault="0039686A" w:rsidP="0039686A">
      <w:pPr>
        <w:pStyle w:val="ListParagraph"/>
        <w:numPr>
          <w:ilvl w:val="0"/>
          <w:numId w:val="29"/>
        </w:numPr>
        <w:spacing w:after="0" w:line="240" w:lineRule="auto"/>
      </w:pPr>
      <w:r>
        <w:t>Tourism or visitor data showing changes in patterns of visiting or engagement</w:t>
      </w:r>
    </w:p>
    <w:p w14:paraId="7E89F922" w14:textId="77777777" w:rsidR="0039686A" w:rsidRDefault="0039686A" w:rsidP="0039686A">
      <w:pPr>
        <w:pStyle w:val="ListParagraph"/>
        <w:numPr>
          <w:ilvl w:val="0"/>
          <w:numId w:val="29"/>
        </w:numPr>
        <w:spacing w:after="0" w:line="240" w:lineRule="auto"/>
      </w:pPr>
      <w:r>
        <w:t xml:space="preserve">Value to partners of adopting new or modified products, models, </w:t>
      </w:r>
      <w:proofErr w:type="gramStart"/>
      <w:r>
        <w:t>systems</w:t>
      </w:r>
      <w:proofErr w:type="gramEnd"/>
      <w:r>
        <w:t xml:space="preserve"> or processes based on research</w:t>
      </w:r>
    </w:p>
    <w:p w14:paraId="0E2796D9" w14:textId="77777777" w:rsidR="0039686A" w:rsidRDefault="0039686A" w:rsidP="0039686A">
      <w:pPr>
        <w:spacing w:after="0" w:line="240" w:lineRule="auto"/>
      </w:pPr>
    </w:p>
    <w:p w14:paraId="1FD2C24C" w14:textId="77777777" w:rsidR="009D512C" w:rsidRPr="00100DED" w:rsidRDefault="009D512C" w:rsidP="00B94C29">
      <w:pPr>
        <w:spacing w:after="240"/>
        <w:rPr>
          <w:color w:val="0000FF" w:themeColor="hyperlink"/>
          <w:u w:val="single"/>
          <w:lang w:eastAsia="x-none"/>
        </w:rPr>
      </w:pPr>
    </w:p>
    <w:sectPr w:rsidR="009D512C" w:rsidRPr="00100DED" w:rsidSect="00E602A3">
      <w:footerReference w:type="default" r:id="rId8"/>
      <w:headerReference w:type="first" r:id="rId9"/>
      <w:footerReference w:type="first" r:id="rId10"/>
      <w:pgSz w:w="11906" w:h="16838"/>
      <w:pgMar w:top="993" w:right="1440" w:bottom="1440" w:left="1440" w:header="9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043A" w14:textId="77777777" w:rsidR="00DF5478" w:rsidRDefault="00DF5478" w:rsidP="003F1FB1">
      <w:pPr>
        <w:spacing w:after="0" w:line="240" w:lineRule="auto"/>
      </w:pPr>
      <w:r>
        <w:separator/>
      </w:r>
    </w:p>
  </w:endnote>
  <w:endnote w:type="continuationSeparator" w:id="0">
    <w:p w14:paraId="761B4FE9" w14:textId="77777777" w:rsidR="00DF5478" w:rsidRDefault="00DF5478" w:rsidP="003F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CD78" w14:textId="77777777" w:rsidR="00EC052C" w:rsidRDefault="00E602A3" w:rsidP="0080328D">
    <w:pPr>
      <w:pStyle w:val="Footer"/>
      <w:jc w:val="right"/>
    </w:pPr>
    <w:r w:rsidRPr="00EC052C">
      <w:rPr>
        <w:noProof/>
        <w:lang w:eastAsia="en-GB"/>
      </w:rPr>
      <w:drawing>
        <wp:anchor distT="0" distB="0" distL="114300" distR="114300" simplePos="0" relativeHeight="251660288" behindDoc="0" locked="0" layoutInCell="1" allowOverlap="1" wp14:anchorId="3F95C80A" wp14:editId="7027F4BB">
          <wp:simplePos x="0" y="0"/>
          <wp:positionH relativeFrom="column">
            <wp:posOffset>-114935</wp:posOffset>
          </wp:positionH>
          <wp:positionV relativeFrom="paragraph">
            <wp:posOffset>-10160</wp:posOffset>
          </wp:positionV>
          <wp:extent cx="1658620" cy="462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_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462280"/>
                  </a:xfrm>
                  <a:prstGeom prst="rect">
                    <a:avLst/>
                  </a:prstGeom>
                </pic:spPr>
              </pic:pic>
            </a:graphicData>
          </a:graphic>
          <wp14:sizeRelH relativeFrom="page">
            <wp14:pctWidth>0</wp14:pctWidth>
          </wp14:sizeRelH>
          <wp14:sizeRelV relativeFrom="page">
            <wp14:pctHeight>0</wp14:pctHeight>
          </wp14:sizeRelV>
        </wp:anchor>
      </w:drawing>
    </w:r>
    <w:r w:rsidR="0080328D">
      <w:t xml:space="preserve">Page </w:t>
    </w:r>
    <w:sdt>
      <w:sdtPr>
        <w:id w:val="208459065"/>
        <w:docPartObj>
          <w:docPartGallery w:val="Page Numbers (Bottom of Page)"/>
          <w:docPartUnique/>
        </w:docPartObj>
      </w:sdtPr>
      <w:sdtEndPr>
        <w:rPr>
          <w:noProof/>
        </w:rPr>
      </w:sdtEndPr>
      <w:sdtContent>
        <w:r w:rsidR="0080328D">
          <w:fldChar w:fldCharType="begin"/>
        </w:r>
        <w:r w:rsidR="0080328D">
          <w:instrText xml:space="preserve"> PAGE   \* MERGEFORMAT </w:instrText>
        </w:r>
        <w:r w:rsidR="0080328D">
          <w:fldChar w:fldCharType="separate"/>
        </w:r>
        <w:r w:rsidR="008C6F2E">
          <w:rPr>
            <w:noProof/>
          </w:rPr>
          <w:t>11</w:t>
        </w:r>
        <w:r w:rsidR="0080328D">
          <w:rPr>
            <w:noProof/>
          </w:rPr>
          <w:fldChar w:fldCharType="end"/>
        </w:r>
        <w:r w:rsidR="0080328D">
          <w:rPr>
            <w:noProof/>
          </w:rPr>
          <w:t xml:space="preserve"> of </w:t>
        </w:r>
        <w:r w:rsidR="0080328D">
          <w:rPr>
            <w:noProof/>
          </w:rPr>
          <w:fldChar w:fldCharType="begin"/>
        </w:r>
        <w:r w:rsidR="0080328D">
          <w:rPr>
            <w:noProof/>
          </w:rPr>
          <w:instrText xml:space="preserve"> NUMPAGES  \# "0" \* Arabic  \* MERGEFORMAT </w:instrText>
        </w:r>
        <w:r w:rsidR="0080328D">
          <w:rPr>
            <w:noProof/>
          </w:rPr>
          <w:fldChar w:fldCharType="separate"/>
        </w:r>
        <w:r w:rsidR="008C6F2E">
          <w:rPr>
            <w:noProof/>
          </w:rPr>
          <w:t>12</w:t>
        </w:r>
        <w:r w:rsidR="0080328D">
          <w:rPr>
            <w:noProof/>
          </w:rPr>
          <w:fldChar w:fldCharType="end"/>
        </w:r>
      </w:sdtContent>
    </w:sdt>
    <w:r w:rsidR="0080328D" w:rsidRPr="00EC052C">
      <w:rPr>
        <w:noProof/>
        <w:lang w:eastAsia="en-GB"/>
      </w:rPr>
      <w:t xml:space="preserve"> </w:t>
    </w:r>
  </w:p>
  <w:p w14:paraId="702C5C24" w14:textId="77777777" w:rsidR="003F1FB1" w:rsidRDefault="003F1FB1" w:rsidP="003F1FB1">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3E9C" w14:textId="77777777" w:rsidR="00000B3C" w:rsidRDefault="00000B3C">
    <w:pPr>
      <w:pStyle w:val="Footer"/>
      <w:jc w:val="right"/>
    </w:pPr>
    <w:r>
      <w:t xml:space="preserve">Page </w:t>
    </w:r>
    <w:sdt>
      <w:sdtPr>
        <w:id w:val="10975190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6F2E">
          <w:rPr>
            <w:noProof/>
          </w:rPr>
          <w:t>1</w:t>
        </w:r>
        <w:r>
          <w:rPr>
            <w:noProof/>
          </w:rPr>
          <w:fldChar w:fldCharType="end"/>
        </w:r>
        <w:r>
          <w:rPr>
            <w:noProof/>
          </w:rPr>
          <w:t xml:space="preserve"> of </w:t>
        </w:r>
        <w:r>
          <w:rPr>
            <w:noProof/>
          </w:rPr>
          <w:fldChar w:fldCharType="begin"/>
        </w:r>
        <w:r>
          <w:rPr>
            <w:noProof/>
          </w:rPr>
          <w:instrText xml:space="preserve"> NUMPAGES  \# "0" \* Arabic  \* MERGEFORMAT </w:instrText>
        </w:r>
        <w:r>
          <w:rPr>
            <w:noProof/>
          </w:rPr>
          <w:fldChar w:fldCharType="separate"/>
        </w:r>
        <w:r w:rsidR="008C6F2E">
          <w:rPr>
            <w:noProof/>
          </w:rPr>
          <w:t>12</w:t>
        </w:r>
        <w:r>
          <w:rPr>
            <w:noProof/>
          </w:rPr>
          <w:fldChar w:fldCharType="end"/>
        </w:r>
      </w:sdtContent>
    </w:sdt>
  </w:p>
  <w:p w14:paraId="7118A3BC" w14:textId="77777777" w:rsidR="00000B3C" w:rsidRDefault="00000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4587" w14:textId="77777777" w:rsidR="00DF5478" w:rsidRDefault="00DF5478" w:rsidP="003F1FB1">
      <w:pPr>
        <w:spacing w:after="0" w:line="240" w:lineRule="auto"/>
      </w:pPr>
      <w:r>
        <w:separator/>
      </w:r>
    </w:p>
  </w:footnote>
  <w:footnote w:type="continuationSeparator" w:id="0">
    <w:p w14:paraId="4E6B7B02" w14:textId="77777777" w:rsidR="00DF5478" w:rsidRDefault="00DF5478" w:rsidP="003F1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C718" w14:textId="77777777" w:rsidR="00EC052C" w:rsidRDefault="003C5FB7" w:rsidP="00953FA3">
    <w:pPr>
      <w:pStyle w:val="Header"/>
      <w:jc w:val="right"/>
    </w:pPr>
    <w:r w:rsidRPr="00EC052C">
      <w:rPr>
        <w:noProof/>
        <w:lang w:eastAsia="en-GB"/>
      </w:rPr>
      <w:drawing>
        <wp:anchor distT="0" distB="0" distL="114300" distR="114300" simplePos="0" relativeHeight="251668480" behindDoc="0" locked="0" layoutInCell="1" allowOverlap="1" wp14:anchorId="47E4A69D" wp14:editId="29D8B877">
          <wp:simplePos x="0" y="0"/>
          <wp:positionH relativeFrom="column">
            <wp:posOffset>-626110</wp:posOffset>
          </wp:positionH>
          <wp:positionV relativeFrom="paragraph">
            <wp:posOffset>-414655</wp:posOffset>
          </wp:positionV>
          <wp:extent cx="1658620" cy="4622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LOGO_B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462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874"/>
    <w:multiLevelType w:val="multilevel"/>
    <w:tmpl w:val="64AED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42A69"/>
    <w:multiLevelType w:val="hybridMultilevel"/>
    <w:tmpl w:val="721E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6470"/>
    <w:multiLevelType w:val="hybridMultilevel"/>
    <w:tmpl w:val="CFE2BB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4E1B3D"/>
    <w:multiLevelType w:val="hybridMultilevel"/>
    <w:tmpl w:val="6C20A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6B6B69"/>
    <w:multiLevelType w:val="hybridMultilevel"/>
    <w:tmpl w:val="F906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63CDC"/>
    <w:multiLevelType w:val="hybridMultilevel"/>
    <w:tmpl w:val="1120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12D7A"/>
    <w:multiLevelType w:val="hybridMultilevel"/>
    <w:tmpl w:val="B74C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920B2"/>
    <w:multiLevelType w:val="hybridMultilevel"/>
    <w:tmpl w:val="FED6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A1F24"/>
    <w:multiLevelType w:val="hybridMultilevel"/>
    <w:tmpl w:val="D9BE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94FE9"/>
    <w:multiLevelType w:val="hybridMultilevel"/>
    <w:tmpl w:val="8F5C4C5C"/>
    <w:lvl w:ilvl="0" w:tplc="405C5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FD585D"/>
    <w:multiLevelType w:val="hybridMultilevel"/>
    <w:tmpl w:val="5066D184"/>
    <w:lvl w:ilvl="0" w:tplc="673ABB64">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5A3100"/>
    <w:multiLevelType w:val="hybridMultilevel"/>
    <w:tmpl w:val="074E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534ED"/>
    <w:multiLevelType w:val="hybridMultilevel"/>
    <w:tmpl w:val="603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27678"/>
    <w:multiLevelType w:val="hybridMultilevel"/>
    <w:tmpl w:val="B136D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A0C72"/>
    <w:multiLevelType w:val="hybridMultilevel"/>
    <w:tmpl w:val="49FA8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B6836"/>
    <w:multiLevelType w:val="hybridMultilevel"/>
    <w:tmpl w:val="7FD6C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216D9"/>
    <w:multiLevelType w:val="hybridMultilevel"/>
    <w:tmpl w:val="5B8A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1465B"/>
    <w:multiLevelType w:val="hybridMultilevel"/>
    <w:tmpl w:val="AE7434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BD6F66"/>
    <w:multiLevelType w:val="hybridMultilevel"/>
    <w:tmpl w:val="E398F7FE"/>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C720C1"/>
    <w:multiLevelType w:val="hybridMultilevel"/>
    <w:tmpl w:val="4C0601B0"/>
    <w:lvl w:ilvl="0" w:tplc="933AAA2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8244D"/>
    <w:multiLevelType w:val="hybridMultilevel"/>
    <w:tmpl w:val="2EE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31B0D"/>
    <w:multiLevelType w:val="hybridMultilevel"/>
    <w:tmpl w:val="652EF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47734"/>
    <w:multiLevelType w:val="hybridMultilevel"/>
    <w:tmpl w:val="A702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67FBD"/>
    <w:multiLevelType w:val="hybridMultilevel"/>
    <w:tmpl w:val="78FA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61798D"/>
    <w:multiLevelType w:val="hybridMultilevel"/>
    <w:tmpl w:val="E1DE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166B4"/>
    <w:multiLevelType w:val="hybridMultilevel"/>
    <w:tmpl w:val="C4A46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20F6F"/>
    <w:multiLevelType w:val="hybridMultilevel"/>
    <w:tmpl w:val="849A6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350C74"/>
    <w:multiLevelType w:val="hybridMultilevel"/>
    <w:tmpl w:val="C49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242D"/>
    <w:multiLevelType w:val="hybridMultilevel"/>
    <w:tmpl w:val="0088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569A6"/>
    <w:multiLevelType w:val="hybridMultilevel"/>
    <w:tmpl w:val="9D0E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91790"/>
    <w:multiLevelType w:val="hybridMultilevel"/>
    <w:tmpl w:val="52EC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277A7"/>
    <w:multiLevelType w:val="hybridMultilevel"/>
    <w:tmpl w:val="2E8E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67069"/>
    <w:multiLevelType w:val="hybridMultilevel"/>
    <w:tmpl w:val="7C26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091299"/>
    <w:multiLevelType w:val="hybridMultilevel"/>
    <w:tmpl w:val="3334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392613"/>
    <w:multiLevelType w:val="hybridMultilevel"/>
    <w:tmpl w:val="B650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A4152"/>
    <w:multiLevelType w:val="hybridMultilevel"/>
    <w:tmpl w:val="6866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9"/>
  </w:num>
  <w:num w:numId="4">
    <w:abstractNumId w:val="26"/>
  </w:num>
  <w:num w:numId="5">
    <w:abstractNumId w:val="0"/>
  </w:num>
  <w:num w:numId="6">
    <w:abstractNumId w:val="13"/>
  </w:num>
  <w:num w:numId="7">
    <w:abstractNumId w:val="25"/>
  </w:num>
  <w:num w:numId="8">
    <w:abstractNumId w:val="17"/>
  </w:num>
  <w:num w:numId="9">
    <w:abstractNumId w:val="2"/>
  </w:num>
  <w:num w:numId="10">
    <w:abstractNumId w:val="20"/>
  </w:num>
  <w:num w:numId="11">
    <w:abstractNumId w:val="15"/>
  </w:num>
  <w:num w:numId="12">
    <w:abstractNumId w:val="27"/>
  </w:num>
  <w:num w:numId="13">
    <w:abstractNumId w:val="33"/>
  </w:num>
  <w:num w:numId="14">
    <w:abstractNumId w:val="23"/>
  </w:num>
  <w:num w:numId="15">
    <w:abstractNumId w:val="34"/>
  </w:num>
  <w:num w:numId="16">
    <w:abstractNumId w:val="30"/>
  </w:num>
  <w:num w:numId="17">
    <w:abstractNumId w:val="29"/>
  </w:num>
  <w:num w:numId="18">
    <w:abstractNumId w:val="11"/>
  </w:num>
  <w:num w:numId="19">
    <w:abstractNumId w:val="35"/>
  </w:num>
  <w:num w:numId="20">
    <w:abstractNumId w:val="16"/>
  </w:num>
  <w:num w:numId="21">
    <w:abstractNumId w:val="12"/>
  </w:num>
  <w:num w:numId="22">
    <w:abstractNumId w:val="24"/>
  </w:num>
  <w:num w:numId="23">
    <w:abstractNumId w:val="14"/>
  </w:num>
  <w:num w:numId="24">
    <w:abstractNumId w:val="32"/>
  </w:num>
  <w:num w:numId="25">
    <w:abstractNumId w:val="3"/>
  </w:num>
  <w:num w:numId="26">
    <w:abstractNumId w:val="5"/>
  </w:num>
  <w:num w:numId="27">
    <w:abstractNumId w:val="6"/>
  </w:num>
  <w:num w:numId="28">
    <w:abstractNumId w:val="7"/>
  </w:num>
  <w:num w:numId="29">
    <w:abstractNumId w:val="1"/>
  </w:num>
  <w:num w:numId="30">
    <w:abstractNumId w:val="8"/>
  </w:num>
  <w:num w:numId="31">
    <w:abstractNumId w:val="28"/>
  </w:num>
  <w:num w:numId="32">
    <w:abstractNumId w:val="21"/>
  </w:num>
  <w:num w:numId="33">
    <w:abstractNumId w:val="4"/>
  </w:num>
  <w:num w:numId="34">
    <w:abstractNumId w:val="22"/>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4B"/>
    <w:rsid w:val="00000B3C"/>
    <w:rsid w:val="00002B70"/>
    <w:rsid w:val="000110FC"/>
    <w:rsid w:val="0001637A"/>
    <w:rsid w:val="0001755B"/>
    <w:rsid w:val="00033630"/>
    <w:rsid w:val="00033C4A"/>
    <w:rsid w:val="00041C2B"/>
    <w:rsid w:val="0004432B"/>
    <w:rsid w:val="000467EC"/>
    <w:rsid w:val="000626EB"/>
    <w:rsid w:val="00063BC6"/>
    <w:rsid w:val="0007087E"/>
    <w:rsid w:val="00072194"/>
    <w:rsid w:val="00075EA6"/>
    <w:rsid w:val="000973F4"/>
    <w:rsid w:val="000B792B"/>
    <w:rsid w:val="000C314A"/>
    <w:rsid w:val="000E212D"/>
    <w:rsid w:val="000F344D"/>
    <w:rsid w:val="000F3D45"/>
    <w:rsid w:val="000F513D"/>
    <w:rsid w:val="000F6860"/>
    <w:rsid w:val="00100DED"/>
    <w:rsid w:val="0010311A"/>
    <w:rsid w:val="00103367"/>
    <w:rsid w:val="00105D33"/>
    <w:rsid w:val="00165C90"/>
    <w:rsid w:val="00177FB2"/>
    <w:rsid w:val="001B10DB"/>
    <w:rsid w:val="001B614B"/>
    <w:rsid w:val="001D065B"/>
    <w:rsid w:val="001E0AA8"/>
    <w:rsid w:val="001F1A8E"/>
    <w:rsid w:val="001F1CD7"/>
    <w:rsid w:val="001F4356"/>
    <w:rsid w:val="00217046"/>
    <w:rsid w:val="00234E5D"/>
    <w:rsid w:val="0024166A"/>
    <w:rsid w:val="00242FDD"/>
    <w:rsid w:val="002668C8"/>
    <w:rsid w:val="00267082"/>
    <w:rsid w:val="00283B54"/>
    <w:rsid w:val="002A34F1"/>
    <w:rsid w:val="002C5245"/>
    <w:rsid w:val="002D0922"/>
    <w:rsid w:val="002D1AD4"/>
    <w:rsid w:val="002D2905"/>
    <w:rsid w:val="002E24EB"/>
    <w:rsid w:val="00310650"/>
    <w:rsid w:val="00323AF0"/>
    <w:rsid w:val="003354A3"/>
    <w:rsid w:val="003457F2"/>
    <w:rsid w:val="00351BA6"/>
    <w:rsid w:val="00352833"/>
    <w:rsid w:val="00355EB0"/>
    <w:rsid w:val="00371D41"/>
    <w:rsid w:val="00375127"/>
    <w:rsid w:val="003767CA"/>
    <w:rsid w:val="0039686A"/>
    <w:rsid w:val="00397712"/>
    <w:rsid w:val="003B0827"/>
    <w:rsid w:val="003B1596"/>
    <w:rsid w:val="003C5FB7"/>
    <w:rsid w:val="003D130A"/>
    <w:rsid w:val="003D642A"/>
    <w:rsid w:val="003F1FB1"/>
    <w:rsid w:val="00400683"/>
    <w:rsid w:val="00432CD3"/>
    <w:rsid w:val="00440EA0"/>
    <w:rsid w:val="00452BDE"/>
    <w:rsid w:val="004556BA"/>
    <w:rsid w:val="00457E5F"/>
    <w:rsid w:val="00460C4B"/>
    <w:rsid w:val="004B3883"/>
    <w:rsid w:val="004C54EE"/>
    <w:rsid w:val="004E2658"/>
    <w:rsid w:val="004F44D5"/>
    <w:rsid w:val="00512BA5"/>
    <w:rsid w:val="00514CF2"/>
    <w:rsid w:val="00517B60"/>
    <w:rsid w:val="00527D85"/>
    <w:rsid w:val="005468F4"/>
    <w:rsid w:val="00547C76"/>
    <w:rsid w:val="005663C2"/>
    <w:rsid w:val="005A506C"/>
    <w:rsid w:val="005B3C96"/>
    <w:rsid w:val="005C3B87"/>
    <w:rsid w:val="00614392"/>
    <w:rsid w:val="00626B9D"/>
    <w:rsid w:val="00636CCB"/>
    <w:rsid w:val="006374B3"/>
    <w:rsid w:val="00660150"/>
    <w:rsid w:val="00672BFD"/>
    <w:rsid w:val="006774FA"/>
    <w:rsid w:val="006775B1"/>
    <w:rsid w:val="006B2515"/>
    <w:rsid w:val="006C1496"/>
    <w:rsid w:val="006D3F13"/>
    <w:rsid w:val="006E3448"/>
    <w:rsid w:val="006F2FA3"/>
    <w:rsid w:val="00705963"/>
    <w:rsid w:val="00714763"/>
    <w:rsid w:val="00726626"/>
    <w:rsid w:val="00734668"/>
    <w:rsid w:val="00736A91"/>
    <w:rsid w:val="007542FF"/>
    <w:rsid w:val="00760F57"/>
    <w:rsid w:val="0076681E"/>
    <w:rsid w:val="007960B8"/>
    <w:rsid w:val="007C0A0F"/>
    <w:rsid w:val="007D6A6C"/>
    <w:rsid w:val="0080328D"/>
    <w:rsid w:val="008442B6"/>
    <w:rsid w:val="00851EED"/>
    <w:rsid w:val="00857339"/>
    <w:rsid w:val="00882662"/>
    <w:rsid w:val="008A29AB"/>
    <w:rsid w:val="008A6A4B"/>
    <w:rsid w:val="008C5575"/>
    <w:rsid w:val="008C6F2E"/>
    <w:rsid w:val="008D2906"/>
    <w:rsid w:val="008E3F3D"/>
    <w:rsid w:val="008E583A"/>
    <w:rsid w:val="008F526A"/>
    <w:rsid w:val="008F60F6"/>
    <w:rsid w:val="00912C72"/>
    <w:rsid w:val="00936DDF"/>
    <w:rsid w:val="00953456"/>
    <w:rsid w:val="00953FA3"/>
    <w:rsid w:val="009656B1"/>
    <w:rsid w:val="0099151D"/>
    <w:rsid w:val="009A5E6C"/>
    <w:rsid w:val="009B0808"/>
    <w:rsid w:val="009C3EE9"/>
    <w:rsid w:val="009D0117"/>
    <w:rsid w:val="009D512C"/>
    <w:rsid w:val="009E37D4"/>
    <w:rsid w:val="00A20692"/>
    <w:rsid w:val="00A36384"/>
    <w:rsid w:val="00A414B2"/>
    <w:rsid w:val="00A568F1"/>
    <w:rsid w:val="00A77DA1"/>
    <w:rsid w:val="00AB4358"/>
    <w:rsid w:val="00AB4A5A"/>
    <w:rsid w:val="00AC010C"/>
    <w:rsid w:val="00AC4824"/>
    <w:rsid w:val="00B00DAC"/>
    <w:rsid w:val="00B51B60"/>
    <w:rsid w:val="00B5619C"/>
    <w:rsid w:val="00B63677"/>
    <w:rsid w:val="00B71EA2"/>
    <w:rsid w:val="00B856A9"/>
    <w:rsid w:val="00B87049"/>
    <w:rsid w:val="00B93BFB"/>
    <w:rsid w:val="00B94C29"/>
    <w:rsid w:val="00BA4D26"/>
    <w:rsid w:val="00BB1208"/>
    <w:rsid w:val="00BC4825"/>
    <w:rsid w:val="00BD3D6C"/>
    <w:rsid w:val="00C340E5"/>
    <w:rsid w:val="00C5579B"/>
    <w:rsid w:val="00C6718B"/>
    <w:rsid w:val="00C830C0"/>
    <w:rsid w:val="00C86420"/>
    <w:rsid w:val="00C960E3"/>
    <w:rsid w:val="00C978EE"/>
    <w:rsid w:val="00CA517D"/>
    <w:rsid w:val="00CB38AD"/>
    <w:rsid w:val="00CE4C3C"/>
    <w:rsid w:val="00CF17AE"/>
    <w:rsid w:val="00CF3F11"/>
    <w:rsid w:val="00CF69C1"/>
    <w:rsid w:val="00D20E14"/>
    <w:rsid w:val="00D31776"/>
    <w:rsid w:val="00D457EB"/>
    <w:rsid w:val="00D50464"/>
    <w:rsid w:val="00D508E3"/>
    <w:rsid w:val="00D537AA"/>
    <w:rsid w:val="00DA3862"/>
    <w:rsid w:val="00DA4160"/>
    <w:rsid w:val="00DC249F"/>
    <w:rsid w:val="00DF5478"/>
    <w:rsid w:val="00E13708"/>
    <w:rsid w:val="00E54E0C"/>
    <w:rsid w:val="00E602A3"/>
    <w:rsid w:val="00E74F23"/>
    <w:rsid w:val="00E77C92"/>
    <w:rsid w:val="00E9658F"/>
    <w:rsid w:val="00EB6C77"/>
    <w:rsid w:val="00EC052C"/>
    <w:rsid w:val="00ED7E81"/>
    <w:rsid w:val="00F01D64"/>
    <w:rsid w:val="00F1541E"/>
    <w:rsid w:val="00F35FDE"/>
    <w:rsid w:val="00F41267"/>
    <w:rsid w:val="00F53BE2"/>
    <w:rsid w:val="00F659F1"/>
    <w:rsid w:val="00F74107"/>
    <w:rsid w:val="00F87373"/>
    <w:rsid w:val="00FA6D07"/>
    <w:rsid w:val="00FC60F1"/>
    <w:rsid w:val="00FF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62CC1"/>
  <w15:docId w15:val="{62F76F6F-C90A-4D1A-9436-1911FDE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F11"/>
    <w:pPr>
      <w:keepNext/>
      <w:keepLines/>
      <w:spacing w:before="480" w:after="0"/>
      <w:outlineLvl w:val="0"/>
    </w:pPr>
    <w:rPr>
      <w:rFonts w:eastAsia="Times New Roman"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B15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4B"/>
    <w:pPr>
      <w:ind w:left="720"/>
      <w:contextualSpacing/>
    </w:pPr>
  </w:style>
  <w:style w:type="paragraph" w:styleId="BalloonText">
    <w:name w:val="Balloon Text"/>
    <w:basedOn w:val="Normal"/>
    <w:link w:val="BalloonTextChar"/>
    <w:uiPriority w:val="99"/>
    <w:semiHidden/>
    <w:unhideWhenUsed/>
    <w:rsid w:val="0063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CB"/>
    <w:rPr>
      <w:rFonts w:ascii="Tahoma" w:hAnsi="Tahoma" w:cs="Tahoma"/>
      <w:sz w:val="16"/>
      <w:szCs w:val="16"/>
    </w:rPr>
  </w:style>
  <w:style w:type="character" w:customStyle="1" w:styleId="Heading1Char">
    <w:name w:val="Heading 1 Char"/>
    <w:basedOn w:val="DefaultParagraphFont"/>
    <w:link w:val="Heading1"/>
    <w:uiPriority w:val="9"/>
    <w:rsid w:val="00CF3F11"/>
    <w:rPr>
      <w:rFonts w:eastAsia="Times New Roman" w:cs="Times New Roman"/>
      <w:b/>
      <w:bCs/>
      <w:color w:val="365F91"/>
      <w:sz w:val="28"/>
      <w:szCs w:val="28"/>
      <w:lang w:val="x-none" w:eastAsia="x-none"/>
    </w:rPr>
  </w:style>
  <w:style w:type="character" w:styleId="PlaceholderText">
    <w:name w:val="Placeholder Text"/>
    <w:basedOn w:val="DefaultParagraphFont"/>
    <w:uiPriority w:val="99"/>
    <w:semiHidden/>
    <w:rsid w:val="00375127"/>
    <w:rPr>
      <w:color w:val="808080"/>
    </w:rPr>
  </w:style>
  <w:style w:type="paragraph" w:styleId="Header">
    <w:name w:val="header"/>
    <w:basedOn w:val="Normal"/>
    <w:link w:val="HeaderChar"/>
    <w:uiPriority w:val="99"/>
    <w:unhideWhenUsed/>
    <w:rsid w:val="003F1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FB1"/>
  </w:style>
  <w:style w:type="paragraph" w:styleId="Footer">
    <w:name w:val="footer"/>
    <w:basedOn w:val="Normal"/>
    <w:link w:val="FooterChar"/>
    <w:uiPriority w:val="99"/>
    <w:unhideWhenUsed/>
    <w:rsid w:val="003F1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B1"/>
  </w:style>
  <w:style w:type="character" w:styleId="Hyperlink">
    <w:name w:val="Hyperlink"/>
    <w:basedOn w:val="DefaultParagraphFont"/>
    <w:uiPriority w:val="99"/>
    <w:unhideWhenUsed/>
    <w:rsid w:val="00323AF0"/>
    <w:rPr>
      <w:color w:val="0000FF" w:themeColor="hyperlink"/>
      <w:u w:val="single"/>
    </w:rPr>
  </w:style>
  <w:style w:type="paragraph" w:styleId="NoSpacing">
    <w:name w:val="No Spacing"/>
    <w:uiPriority w:val="1"/>
    <w:qFormat/>
    <w:rsid w:val="003C5FB7"/>
    <w:pPr>
      <w:spacing w:after="0" w:line="240" w:lineRule="auto"/>
    </w:pPr>
  </w:style>
  <w:style w:type="table" w:styleId="TableGrid">
    <w:name w:val="Table Grid"/>
    <w:basedOn w:val="TableNormal"/>
    <w:uiPriority w:val="59"/>
    <w:rsid w:val="000F6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8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217046"/>
    <w:rPr>
      <w:sz w:val="16"/>
      <w:szCs w:val="16"/>
    </w:rPr>
  </w:style>
  <w:style w:type="paragraph" w:styleId="CommentText">
    <w:name w:val="annotation text"/>
    <w:basedOn w:val="Normal"/>
    <w:link w:val="CommentTextChar"/>
    <w:uiPriority w:val="99"/>
    <w:semiHidden/>
    <w:unhideWhenUsed/>
    <w:rsid w:val="00217046"/>
    <w:pPr>
      <w:spacing w:line="240" w:lineRule="auto"/>
    </w:pPr>
    <w:rPr>
      <w:sz w:val="20"/>
      <w:szCs w:val="20"/>
    </w:rPr>
  </w:style>
  <w:style w:type="character" w:customStyle="1" w:styleId="CommentTextChar">
    <w:name w:val="Comment Text Char"/>
    <w:basedOn w:val="DefaultParagraphFont"/>
    <w:link w:val="CommentText"/>
    <w:uiPriority w:val="99"/>
    <w:semiHidden/>
    <w:rsid w:val="00217046"/>
    <w:rPr>
      <w:sz w:val="20"/>
      <w:szCs w:val="20"/>
    </w:rPr>
  </w:style>
  <w:style w:type="paragraph" w:styleId="CommentSubject">
    <w:name w:val="annotation subject"/>
    <w:basedOn w:val="CommentText"/>
    <w:next w:val="CommentText"/>
    <w:link w:val="CommentSubjectChar"/>
    <w:uiPriority w:val="99"/>
    <w:semiHidden/>
    <w:unhideWhenUsed/>
    <w:rsid w:val="00217046"/>
    <w:rPr>
      <w:b/>
      <w:bCs/>
    </w:rPr>
  </w:style>
  <w:style w:type="character" w:customStyle="1" w:styleId="CommentSubjectChar">
    <w:name w:val="Comment Subject Char"/>
    <w:basedOn w:val="CommentTextChar"/>
    <w:link w:val="CommentSubject"/>
    <w:uiPriority w:val="99"/>
    <w:semiHidden/>
    <w:rsid w:val="00217046"/>
    <w:rPr>
      <w:b/>
      <w:bCs/>
      <w:sz w:val="20"/>
      <w:szCs w:val="20"/>
    </w:rPr>
  </w:style>
  <w:style w:type="character" w:customStyle="1" w:styleId="Heading2Char">
    <w:name w:val="Heading 2 Char"/>
    <w:basedOn w:val="DefaultParagraphFont"/>
    <w:link w:val="Heading2"/>
    <w:uiPriority w:val="9"/>
    <w:rsid w:val="003B159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E3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22F2-67FD-47AB-9ABD-CF875CC6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 Hahne</dc:creator>
  <cp:lastModifiedBy>Basi,T</cp:lastModifiedBy>
  <cp:revision>3</cp:revision>
  <cp:lastPrinted>2017-07-26T10:27:00Z</cp:lastPrinted>
  <dcterms:created xsi:type="dcterms:W3CDTF">2021-11-25T10:09:00Z</dcterms:created>
  <dcterms:modified xsi:type="dcterms:W3CDTF">2021-11-25T10:14:00Z</dcterms:modified>
</cp:coreProperties>
</file>